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29" w:rsidRPr="00301F29" w:rsidRDefault="00301F29" w:rsidP="00301F29">
      <w:pPr>
        <w:rPr>
          <w:rFonts w:ascii="Calibri" w:eastAsia="Malgun Gothic" w:hAnsi="Calibri" w:cs="Calibri"/>
          <w:b/>
          <w:bCs/>
        </w:rPr>
      </w:pPr>
      <w:r>
        <w:rPr>
          <w:rFonts w:ascii="Calibri" w:eastAsia="Malgun Gothic" w:hAnsi="Calibri" w:cs="Calibri"/>
          <w:b/>
          <w:noProof/>
        </w:rPr>
        <w:drawing>
          <wp:inline distT="0" distB="0" distL="0" distR="0">
            <wp:extent cx="269557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p>
    <w:p w:rsidR="00301F29" w:rsidRPr="00301F29" w:rsidRDefault="00301F29" w:rsidP="00301F29">
      <w:pPr>
        <w:rPr>
          <w:rFonts w:ascii="Calibri" w:eastAsia="Malgun Gothic" w:hAnsi="Calibri" w:cs="Calibri"/>
          <w:b/>
          <w:bCs/>
        </w:rPr>
      </w:pPr>
    </w:p>
    <w:p w:rsidR="00301F29" w:rsidRPr="00301F29" w:rsidRDefault="00301F29" w:rsidP="0063146A">
      <w:pPr>
        <w:spacing w:after="0"/>
        <w:rPr>
          <w:rFonts w:ascii="Calibri" w:eastAsia="Malgun Gothic" w:hAnsi="Calibri" w:cs="Arial"/>
        </w:rPr>
      </w:pPr>
      <w:r w:rsidRPr="00301F29">
        <w:rPr>
          <w:rFonts w:ascii="Calibri" w:eastAsia="Malgun Gothic" w:hAnsi="Calibri" w:cs="Arial"/>
        </w:rPr>
        <w:t>HMCTS reference: SC</w:t>
      </w:r>
      <w:r w:rsidR="003631CE">
        <w:rPr>
          <w:rFonts w:ascii="Calibri" w:eastAsia="Malgun Gothic" w:hAnsi="Calibri" w:cs="Arial"/>
        </w:rPr>
        <w:t>124/18/</w:t>
      </w:r>
      <w:proofErr w:type="spellStart"/>
      <w:r w:rsidR="0063146A">
        <w:rPr>
          <w:rFonts w:ascii="Calibri" w:eastAsia="Malgun Gothic" w:hAnsi="Calibri" w:cs="Arial"/>
        </w:rPr>
        <w:t>xxxx</w:t>
      </w:r>
      <w:proofErr w:type="spellEnd"/>
    </w:p>
    <w:p w:rsidR="00301F29" w:rsidRPr="00301F29" w:rsidRDefault="00301F29" w:rsidP="0063146A">
      <w:pPr>
        <w:spacing w:after="0"/>
        <w:rPr>
          <w:rFonts w:ascii="Calibri" w:eastAsia="Malgun Gothic" w:hAnsi="Calibri" w:cs="Arial"/>
        </w:rPr>
      </w:pPr>
      <w:r w:rsidRPr="00301F29">
        <w:rPr>
          <w:rFonts w:ascii="Calibri" w:eastAsia="Malgun Gothic" w:hAnsi="Calibri" w:cs="Arial"/>
        </w:rPr>
        <w:t xml:space="preserve">NI: </w:t>
      </w:r>
      <w:proofErr w:type="spellStart"/>
      <w:r w:rsidR="0063146A">
        <w:rPr>
          <w:rFonts w:ascii="Calibri" w:eastAsia="Malgun Gothic" w:hAnsi="Calibri" w:cs="Arial"/>
        </w:rPr>
        <w:t>xxxxxxxx</w:t>
      </w:r>
      <w:proofErr w:type="spellEnd"/>
    </w:p>
    <w:p w:rsidR="00301F29" w:rsidRDefault="00301F29" w:rsidP="0063146A">
      <w:pPr>
        <w:rPr>
          <w:rFonts w:ascii="Calibri" w:eastAsia="Malgun Gothic" w:hAnsi="Calibri" w:cs="Arial"/>
        </w:rPr>
      </w:pPr>
      <w:r w:rsidRPr="00301F29">
        <w:rPr>
          <w:rFonts w:ascii="Calibri" w:eastAsia="Malgun Gothic" w:hAnsi="Calibri" w:cs="Arial"/>
        </w:rPr>
        <w:t xml:space="preserve">CAB reference: </w:t>
      </w:r>
      <w:r w:rsidR="004E7D22" w:rsidRPr="004E7D22">
        <w:rPr>
          <w:rFonts w:ascii="Calibri" w:eastAsia="Malgun Gothic" w:hAnsi="Calibri" w:cs="Arial"/>
        </w:rPr>
        <w:t>CL-</w:t>
      </w:r>
      <w:proofErr w:type="spellStart"/>
      <w:r w:rsidR="0063146A">
        <w:rPr>
          <w:rFonts w:ascii="Calibri" w:eastAsia="Malgun Gothic" w:hAnsi="Calibri" w:cs="Arial"/>
        </w:rPr>
        <w:t>xxxxxxx</w:t>
      </w:r>
      <w:bookmarkStart w:id="0" w:name="_GoBack"/>
      <w:bookmarkEnd w:id="0"/>
      <w:proofErr w:type="spellEnd"/>
      <w:r w:rsidRPr="00301F29">
        <w:rPr>
          <w:rFonts w:ascii="Calibri" w:eastAsia="Malgun Gothic" w:hAnsi="Calibri" w:cs="Arial"/>
        </w:rPr>
        <w:t>/</w:t>
      </w:r>
      <w:proofErr w:type="spellStart"/>
      <w:r w:rsidRPr="00301F29">
        <w:rPr>
          <w:rFonts w:ascii="Calibri" w:eastAsia="Malgun Gothic" w:hAnsi="Calibri" w:cs="Arial"/>
        </w:rPr>
        <w:t>ps</w:t>
      </w:r>
      <w:proofErr w:type="spellEnd"/>
    </w:p>
    <w:p w:rsidR="00301F29" w:rsidRDefault="00301F29" w:rsidP="00301F29">
      <w:pPr>
        <w:spacing w:after="0"/>
        <w:rPr>
          <w:rFonts w:ascii="Calibri" w:eastAsia="Malgun Gothic" w:hAnsi="Calibri" w:cs="Arial"/>
        </w:rPr>
      </w:pPr>
    </w:p>
    <w:p w:rsidR="00301F29" w:rsidRDefault="00301F29" w:rsidP="00EE6524">
      <w:pPr>
        <w:spacing w:after="0"/>
        <w:rPr>
          <w:rFonts w:ascii="Calibri" w:eastAsia="Malgun Gothic" w:hAnsi="Calibri" w:cs="Calibri"/>
          <w:b/>
          <w:bCs/>
        </w:rPr>
      </w:pPr>
      <w:r>
        <w:rPr>
          <w:rFonts w:ascii="Calibri" w:eastAsia="Malgun Gothic" w:hAnsi="Calibri" w:cs="Calibri"/>
          <w:b/>
          <w:bCs/>
        </w:rPr>
        <w:t>A</w:t>
      </w:r>
      <w:r w:rsidRPr="00301F29">
        <w:rPr>
          <w:rFonts w:ascii="Calibri" w:eastAsia="Malgun Gothic" w:hAnsi="Calibri" w:cs="Calibri"/>
          <w:b/>
          <w:bCs/>
        </w:rPr>
        <w:t xml:space="preserve">A Appeal of Mr </w:t>
      </w:r>
      <w:r>
        <w:rPr>
          <w:rFonts w:ascii="Calibri" w:eastAsia="Malgun Gothic" w:hAnsi="Calibri" w:cs="Calibri"/>
          <w:b/>
          <w:bCs/>
        </w:rPr>
        <w:t>R W</w:t>
      </w:r>
    </w:p>
    <w:p w:rsidR="00301F29" w:rsidRPr="00301F29" w:rsidRDefault="00301F29" w:rsidP="00301F29">
      <w:pPr>
        <w:spacing w:after="0"/>
        <w:rPr>
          <w:rFonts w:ascii="Calibri" w:eastAsia="Malgun Gothic" w:hAnsi="Calibri" w:cs="Arial"/>
        </w:rPr>
      </w:pPr>
    </w:p>
    <w:p w:rsidR="00301F29" w:rsidRPr="00301F29" w:rsidRDefault="00301F29" w:rsidP="00301F29">
      <w:pPr>
        <w:rPr>
          <w:rFonts w:ascii="Calibri" w:eastAsia="Malgun Gothic" w:hAnsi="Calibri" w:cs="Calibri"/>
          <w:b/>
          <w:bCs/>
        </w:rPr>
      </w:pPr>
      <w:r w:rsidRPr="00301F29">
        <w:rPr>
          <w:rFonts w:ascii="Calibri" w:eastAsia="Malgun Gothic" w:hAnsi="Calibri" w:cs="Calibri"/>
          <w:b/>
          <w:bCs/>
        </w:rPr>
        <w:t>Submission by Epping Forest District Citizens Advice</w:t>
      </w:r>
    </w:p>
    <w:p w:rsidR="00301F29" w:rsidRPr="00301F29" w:rsidRDefault="00301F29" w:rsidP="00301F29">
      <w:pPr>
        <w:rPr>
          <w:b/>
          <w:bCs/>
        </w:rPr>
      </w:pPr>
      <w:r w:rsidRPr="00301F29">
        <w:rPr>
          <w:b/>
          <w:bCs/>
        </w:rPr>
        <w:t>Introduction</w:t>
      </w:r>
    </w:p>
    <w:p w:rsidR="00690DAC" w:rsidRDefault="00690DAC" w:rsidP="00EE6524">
      <w:pPr>
        <w:pStyle w:val="ListParagraph"/>
        <w:numPr>
          <w:ilvl w:val="0"/>
          <w:numId w:val="1"/>
        </w:numPr>
        <w:ind w:left="360"/>
        <w:jc w:val="both"/>
      </w:pPr>
      <w:r>
        <w:t xml:space="preserve">Mr W’s case is that he </w:t>
      </w:r>
      <w:r w:rsidRPr="00690DAC">
        <w:t xml:space="preserve"> satisfies the day attendance condition </w:t>
      </w:r>
      <w:r>
        <w:t>for attendance allowance because “</w:t>
      </w:r>
      <w:r w:rsidRPr="00690DAC">
        <w:t>he is so severely disabled</w:t>
      </w:r>
      <w:r>
        <w:t>…</w:t>
      </w:r>
      <w:r w:rsidRPr="00690DAC">
        <w:t xml:space="preserve"> that, by day, he requires from another person </w:t>
      </w:r>
      <w:r>
        <w:t>…</w:t>
      </w:r>
      <w:r w:rsidRPr="00690DAC">
        <w:t>frequent attention throughout the day in connection with his bodily</w:t>
      </w:r>
      <w:r>
        <w:t xml:space="preserve"> functions.” (</w:t>
      </w:r>
      <w:proofErr w:type="gramStart"/>
      <w:r w:rsidRPr="00690DAC">
        <w:t>s64(</w:t>
      </w:r>
      <w:proofErr w:type="gramEnd"/>
      <w:r w:rsidRPr="00690DAC">
        <w:t>2)</w:t>
      </w:r>
      <w:r>
        <w:t>(a)</w:t>
      </w:r>
      <w:r w:rsidRPr="00690DAC">
        <w:t xml:space="preserve"> of the Social Security Contributions and Benefits Act 1992</w:t>
      </w:r>
      <w:r>
        <w:t xml:space="preserve">). </w:t>
      </w:r>
    </w:p>
    <w:p w:rsidR="00301F29" w:rsidRDefault="00301F29" w:rsidP="00301F29">
      <w:pPr>
        <w:pStyle w:val="ListParagraph"/>
        <w:ind w:left="360"/>
        <w:jc w:val="both"/>
      </w:pPr>
    </w:p>
    <w:p w:rsidR="00690DAC" w:rsidRDefault="00690DAC" w:rsidP="00301F29">
      <w:pPr>
        <w:pStyle w:val="ListParagraph"/>
        <w:numPr>
          <w:ilvl w:val="0"/>
          <w:numId w:val="1"/>
        </w:numPr>
        <w:ind w:left="360"/>
        <w:jc w:val="both"/>
      </w:pPr>
      <w:r>
        <w:t xml:space="preserve">Supervision under </w:t>
      </w:r>
      <w:proofErr w:type="gramStart"/>
      <w:r>
        <w:t>s64(</w:t>
      </w:r>
      <w:proofErr w:type="gramEnd"/>
      <w:r>
        <w:t>2)(b) is not an issue</w:t>
      </w:r>
      <w:r w:rsidR="00301F29">
        <w:t xml:space="preserve"> we wish to raise</w:t>
      </w:r>
      <w:r>
        <w:t>, nor the night attendance condition under s64(3).</w:t>
      </w:r>
    </w:p>
    <w:p w:rsidR="00301F29" w:rsidRDefault="00301F29" w:rsidP="00301F29">
      <w:pPr>
        <w:pStyle w:val="ListParagraph"/>
        <w:ind w:left="360"/>
        <w:jc w:val="both"/>
      </w:pPr>
    </w:p>
    <w:p w:rsidR="00690DAC" w:rsidRDefault="007160AE" w:rsidP="00301F29">
      <w:pPr>
        <w:pStyle w:val="ListParagraph"/>
        <w:numPr>
          <w:ilvl w:val="0"/>
          <w:numId w:val="1"/>
        </w:numPr>
        <w:ind w:left="360"/>
        <w:jc w:val="both"/>
      </w:pPr>
      <w:r>
        <w:t>We respectfully refer the tribunal to the leading case on this provision:</w:t>
      </w:r>
      <w:r w:rsidR="00EF08BD">
        <w:t xml:space="preserve"> the judgment of the House of Lords in</w:t>
      </w:r>
      <w:r>
        <w:t xml:space="preserve"> </w:t>
      </w:r>
      <w:proofErr w:type="spellStart"/>
      <w:r w:rsidRPr="00301F29">
        <w:rPr>
          <w:i/>
          <w:iCs/>
        </w:rPr>
        <w:t>Mallinson</w:t>
      </w:r>
      <w:proofErr w:type="spellEnd"/>
      <w:r w:rsidRPr="00301F29">
        <w:rPr>
          <w:i/>
          <w:iCs/>
        </w:rPr>
        <w:t xml:space="preserve"> v Secretary of State,</w:t>
      </w:r>
      <w:r>
        <w:t xml:space="preserve"> reported as </w:t>
      </w:r>
      <w:proofErr w:type="gramStart"/>
      <w:r>
        <w:t>R(</w:t>
      </w:r>
      <w:proofErr w:type="gramEnd"/>
      <w:r>
        <w:t>A)3/94. The que</w:t>
      </w:r>
      <w:r w:rsidR="00301F29">
        <w:t xml:space="preserve">stions to be posed are set out </w:t>
      </w:r>
      <w:r>
        <w:t xml:space="preserve">in Lord Woolf’s </w:t>
      </w:r>
      <w:r w:rsidR="00EF08BD">
        <w:t>speech</w:t>
      </w:r>
      <w:r>
        <w:t xml:space="preserve">. They are: </w:t>
      </w:r>
      <w:r w:rsidRPr="007160AE">
        <w:t xml:space="preserve">(1) </w:t>
      </w:r>
      <w:proofErr w:type="gramStart"/>
      <w:r w:rsidRPr="007160AE">
        <w:t>Has</w:t>
      </w:r>
      <w:proofErr w:type="gramEnd"/>
      <w:r w:rsidRPr="007160AE">
        <w:t xml:space="preserve"> the clai</w:t>
      </w:r>
      <w:r w:rsidRPr="007160AE">
        <w:softHyphen/>
        <w:t>mant a serious disability? (2) If so, what bodily functions does it impair? (3) Does he reasonably require attention in connection with those functions? (4) Is that attention frequent?</w:t>
      </w:r>
    </w:p>
    <w:p w:rsidR="00301F29" w:rsidRDefault="00301F29" w:rsidP="00301F29">
      <w:pPr>
        <w:pStyle w:val="ListParagraph"/>
        <w:ind w:left="360"/>
        <w:jc w:val="both"/>
      </w:pPr>
    </w:p>
    <w:p w:rsidR="007160AE" w:rsidRDefault="007160AE" w:rsidP="00301F29">
      <w:pPr>
        <w:pStyle w:val="ListParagraph"/>
        <w:numPr>
          <w:ilvl w:val="0"/>
          <w:numId w:val="1"/>
        </w:numPr>
        <w:ind w:left="360"/>
        <w:jc w:val="both"/>
      </w:pPr>
      <w:r>
        <w:t>Our answers are: (1) Yes. He is registered as blind. His sight is severely impa</w:t>
      </w:r>
      <w:r w:rsidR="00000CA6">
        <w:t xml:space="preserve">ired. (2) </w:t>
      </w:r>
      <w:proofErr w:type="gramStart"/>
      <w:r w:rsidR="00000CA6">
        <w:t>the</w:t>
      </w:r>
      <w:proofErr w:type="gramEnd"/>
      <w:r w:rsidR="00000CA6">
        <w:t xml:space="preserve"> bodily function of</w:t>
      </w:r>
      <w:r>
        <w:t xml:space="preserve"> seeing. (3) Yes. (4)Yes.</w:t>
      </w:r>
    </w:p>
    <w:p w:rsidR="00301F29" w:rsidRDefault="00301F29" w:rsidP="00301F29">
      <w:pPr>
        <w:pStyle w:val="ListParagraph"/>
        <w:ind w:left="360"/>
        <w:jc w:val="both"/>
      </w:pPr>
    </w:p>
    <w:p w:rsidR="007160AE" w:rsidRDefault="007160AE" w:rsidP="00301F29">
      <w:pPr>
        <w:pStyle w:val="ListParagraph"/>
        <w:numPr>
          <w:ilvl w:val="0"/>
          <w:numId w:val="1"/>
        </w:numPr>
        <w:ind w:left="360"/>
        <w:jc w:val="both"/>
      </w:pPr>
      <w:r>
        <w:t>This submission therefore lists the attention he requires in relation to his loss of sight. We submit that together they aggregate to a need for frequent attention.</w:t>
      </w:r>
    </w:p>
    <w:p w:rsidR="00301F29" w:rsidRDefault="00301F29" w:rsidP="00301F29">
      <w:pPr>
        <w:pStyle w:val="ListParagraph"/>
        <w:ind w:left="360"/>
        <w:jc w:val="both"/>
      </w:pPr>
    </w:p>
    <w:p w:rsidR="007160AE" w:rsidRPr="00301F29" w:rsidRDefault="007160AE" w:rsidP="00301F29">
      <w:pPr>
        <w:pStyle w:val="ListParagraph"/>
        <w:numPr>
          <w:ilvl w:val="1"/>
          <w:numId w:val="1"/>
        </w:numPr>
        <w:ind w:left="1080"/>
        <w:jc w:val="both"/>
        <w:rPr>
          <w:b/>
          <w:bCs/>
        </w:rPr>
      </w:pPr>
      <w:proofErr w:type="gramStart"/>
      <w:r>
        <w:t>getting</w:t>
      </w:r>
      <w:proofErr w:type="gramEnd"/>
      <w:r>
        <w:t xml:space="preserve"> out of bed </w:t>
      </w:r>
      <w:r w:rsidRPr="00301F29">
        <w:rPr>
          <w:b/>
          <w:bCs/>
        </w:rPr>
        <w:t>[19-20].</w:t>
      </w:r>
    </w:p>
    <w:p w:rsidR="007160AE" w:rsidRPr="00301F29" w:rsidRDefault="007160AE" w:rsidP="00301F29">
      <w:pPr>
        <w:pStyle w:val="ListParagraph"/>
        <w:numPr>
          <w:ilvl w:val="1"/>
          <w:numId w:val="1"/>
        </w:numPr>
        <w:ind w:left="1080"/>
        <w:jc w:val="both"/>
        <w:rPr>
          <w:b/>
          <w:bCs/>
        </w:rPr>
      </w:pPr>
      <w:r>
        <w:t xml:space="preserve">washing and shaving </w:t>
      </w:r>
      <w:r w:rsidR="00813F46" w:rsidRPr="00301F29">
        <w:rPr>
          <w:b/>
          <w:bCs/>
        </w:rPr>
        <w:t>[22</w:t>
      </w:r>
      <w:r w:rsidRPr="00301F29">
        <w:rPr>
          <w:b/>
          <w:bCs/>
        </w:rPr>
        <w:t>]</w:t>
      </w:r>
    </w:p>
    <w:p w:rsidR="007160AE" w:rsidRPr="00301F29" w:rsidRDefault="007160AE" w:rsidP="00301F29">
      <w:pPr>
        <w:pStyle w:val="ListParagraph"/>
        <w:numPr>
          <w:ilvl w:val="1"/>
          <w:numId w:val="1"/>
        </w:numPr>
        <w:ind w:left="1080"/>
        <w:jc w:val="both"/>
        <w:rPr>
          <w:b/>
          <w:bCs/>
        </w:rPr>
      </w:pPr>
      <w:r>
        <w:t xml:space="preserve">selecting clothes </w:t>
      </w:r>
      <w:r w:rsidRPr="00301F29">
        <w:rPr>
          <w:b/>
          <w:bCs/>
        </w:rPr>
        <w:t>[23</w:t>
      </w:r>
      <w:r w:rsidR="00813F46" w:rsidRPr="00301F29">
        <w:rPr>
          <w:b/>
          <w:bCs/>
        </w:rPr>
        <w:t>]</w:t>
      </w:r>
    </w:p>
    <w:p w:rsidR="00813F46" w:rsidRDefault="00813F46" w:rsidP="00301F29">
      <w:pPr>
        <w:pStyle w:val="ListParagraph"/>
        <w:numPr>
          <w:ilvl w:val="1"/>
          <w:numId w:val="1"/>
        </w:numPr>
        <w:ind w:left="1080"/>
        <w:jc w:val="both"/>
      </w:pPr>
      <w:proofErr w:type="gramStart"/>
      <w:r>
        <w:t>going</w:t>
      </w:r>
      <w:proofErr w:type="gramEnd"/>
      <w:r>
        <w:t xml:space="preserve"> out </w:t>
      </w:r>
      <w:r w:rsidRPr="00301F29">
        <w:rPr>
          <w:b/>
          <w:bCs/>
        </w:rPr>
        <w:t>[24]</w:t>
      </w:r>
      <w:r>
        <w:t>. This is discussed in more detail in paragraph</w:t>
      </w:r>
      <w:r w:rsidR="00301F29">
        <w:t>s 6-7.</w:t>
      </w:r>
    </w:p>
    <w:p w:rsidR="00813F46" w:rsidRPr="00EF08BD" w:rsidRDefault="00813F46" w:rsidP="00301F29">
      <w:pPr>
        <w:pStyle w:val="ListParagraph"/>
        <w:numPr>
          <w:ilvl w:val="1"/>
          <w:numId w:val="1"/>
        </w:numPr>
        <w:ind w:left="1080"/>
        <w:jc w:val="both"/>
      </w:pPr>
      <w:proofErr w:type="gramStart"/>
      <w:r>
        <w:t>locating</w:t>
      </w:r>
      <w:proofErr w:type="gramEnd"/>
      <w:r>
        <w:t xml:space="preserve"> and cutting up food </w:t>
      </w:r>
      <w:r w:rsidRPr="00301F29">
        <w:rPr>
          <w:b/>
          <w:bCs/>
        </w:rPr>
        <w:t>[25-26]</w:t>
      </w:r>
      <w:r w:rsidR="00301F29">
        <w:t>. See paragraph 8.</w:t>
      </w:r>
    </w:p>
    <w:p w:rsidR="00813F46" w:rsidRPr="00301F29" w:rsidRDefault="00813F46" w:rsidP="00301F29">
      <w:pPr>
        <w:pStyle w:val="ListParagraph"/>
        <w:numPr>
          <w:ilvl w:val="1"/>
          <w:numId w:val="1"/>
        </w:numPr>
        <w:ind w:left="1080"/>
        <w:jc w:val="both"/>
        <w:rPr>
          <w:b/>
          <w:bCs/>
        </w:rPr>
      </w:pPr>
      <w:r>
        <w:t xml:space="preserve">managing medication </w:t>
      </w:r>
      <w:r w:rsidRPr="00301F29">
        <w:rPr>
          <w:b/>
          <w:bCs/>
        </w:rPr>
        <w:t>[26-27]</w:t>
      </w:r>
    </w:p>
    <w:p w:rsidR="00813F46" w:rsidRDefault="00813F46" w:rsidP="00301F29">
      <w:pPr>
        <w:pStyle w:val="ListParagraph"/>
        <w:numPr>
          <w:ilvl w:val="1"/>
          <w:numId w:val="1"/>
        </w:numPr>
        <w:ind w:left="1080"/>
        <w:jc w:val="both"/>
        <w:rPr>
          <w:b/>
          <w:bCs/>
        </w:rPr>
      </w:pPr>
      <w:r>
        <w:t xml:space="preserve">reading and writing </w:t>
      </w:r>
      <w:r w:rsidRPr="00301F29">
        <w:rPr>
          <w:b/>
          <w:bCs/>
        </w:rPr>
        <w:t>[27-28]</w:t>
      </w:r>
    </w:p>
    <w:p w:rsidR="00301F29" w:rsidRPr="00301F29" w:rsidRDefault="00301F29" w:rsidP="00301F29">
      <w:pPr>
        <w:pStyle w:val="ListParagraph"/>
        <w:ind w:left="1080"/>
        <w:jc w:val="both"/>
        <w:rPr>
          <w:b/>
          <w:bCs/>
        </w:rPr>
      </w:pPr>
    </w:p>
    <w:p w:rsidR="00813F46" w:rsidRPr="00301F29" w:rsidRDefault="00813F46" w:rsidP="00301F29">
      <w:pPr>
        <w:jc w:val="both"/>
        <w:rPr>
          <w:b/>
          <w:bCs/>
        </w:rPr>
      </w:pPr>
      <w:r w:rsidRPr="00301F29">
        <w:rPr>
          <w:b/>
          <w:bCs/>
        </w:rPr>
        <w:t>Going out</w:t>
      </w:r>
    </w:p>
    <w:p w:rsidR="00813F46" w:rsidRDefault="00EE6524" w:rsidP="00EE6524">
      <w:pPr>
        <w:pStyle w:val="ListParagraph"/>
        <w:numPr>
          <w:ilvl w:val="0"/>
          <w:numId w:val="1"/>
        </w:numPr>
        <w:ind w:left="360"/>
        <w:jc w:val="both"/>
      </w:pPr>
      <w:r>
        <w:t>This is what Mr W</w:t>
      </w:r>
      <w:r w:rsidR="00813F46">
        <w:t xml:space="preserve"> has told us about going out. If he goes to an unfamiliar place he needs someone with him. He does go out on his own in that he takes the bus. </w:t>
      </w:r>
      <w:r w:rsidR="00000CA6">
        <w:t xml:space="preserve">He cannot see the </w:t>
      </w:r>
      <w:r w:rsidR="00000CA6">
        <w:lastRenderedPageBreak/>
        <w:t xml:space="preserve">number or destination indicator on the bus and he cannot tell when he has reached his destination so he needs the bus driver or another passenger to tell him which </w:t>
      </w:r>
      <w:proofErr w:type="gramStart"/>
      <w:r w:rsidR="00000CA6">
        <w:t>bus</w:t>
      </w:r>
      <w:proofErr w:type="gramEnd"/>
      <w:r w:rsidR="00000CA6">
        <w:t xml:space="preserve"> it is and when he has reached his destination. He then needs to be met by someone.</w:t>
      </w:r>
    </w:p>
    <w:p w:rsidR="00301F29" w:rsidRDefault="00301F29" w:rsidP="00301F29">
      <w:pPr>
        <w:pStyle w:val="ListParagraph"/>
        <w:ind w:left="360"/>
        <w:jc w:val="both"/>
      </w:pPr>
    </w:p>
    <w:p w:rsidR="00000CA6" w:rsidRDefault="00000CA6" w:rsidP="00EE6524">
      <w:pPr>
        <w:pStyle w:val="ListParagraph"/>
        <w:numPr>
          <w:ilvl w:val="0"/>
          <w:numId w:val="1"/>
        </w:numPr>
        <w:ind w:left="360"/>
        <w:jc w:val="both"/>
      </w:pPr>
      <w:r>
        <w:t>The decision maker, on mandatory reconsideration</w:t>
      </w:r>
      <w:r w:rsidR="00EF08BD">
        <w:t xml:space="preserve"> </w:t>
      </w:r>
      <w:r w:rsidR="00EF08BD" w:rsidRPr="00301F29">
        <w:rPr>
          <w:b/>
          <w:bCs/>
        </w:rPr>
        <w:t>[46-48]</w:t>
      </w:r>
      <w:r>
        <w:t>, accepts that Mr W need</w:t>
      </w:r>
      <w:r w:rsidR="00FD276A">
        <w:t>s supervision when out of doors</w:t>
      </w:r>
      <w:r w:rsidRPr="00301F29">
        <w:rPr>
          <w:b/>
          <w:bCs/>
        </w:rPr>
        <w:t xml:space="preserve"> </w:t>
      </w:r>
      <w:r>
        <w:t xml:space="preserve">but does not seem to have addressed the question of whether the needs constitute attention. In fairness to the decision maker he appears to have had rather less detail to go on than we have as Mr W’s representatives. </w:t>
      </w:r>
      <w:r w:rsidRPr="00000CA6">
        <w:t>We submit</w:t>
      </w:r>
      <w:r>
        <w:t xml:space="preserve">, following the </w:t>
      </w:r>
      <w:proofErr w:type="spellStart"/>
      <w:r w:rsidRPr="00301F29">
        <w:rPr>
          <w:i/>
          <w:iCs/>
        </w:rPr>
        <w:t>Mallinson</w:t>
      </w:r>
      <w:proofErr w:type="spellEnd"/>
      <w:r w:rsidRPr="00301F29">
        <w:rPr>
          <w:i/>
          <w:iCs/>
        </w:rPr>
        <w:t xml:space="preserve"> </w:t>
      </w:r>
      <w:r>
        <w:t>judgment,</w:t>
      </w:r>
      <w:r w:rsidRPr="00000CA6">
        <w:t xml:space="preserve"> that </w:t>
      </w:r>
      <w:r>
        <w:t xml:space="preserve">this kind of need </w:t>
      </w:r>
      <w:r w:rsidRPr="00000CA6">
        <w:t>constitute</w:t>
      </w:r>
      <w:r>
        <w:t>s</w:t>
      </w:r>
      <w:r w:rsidRPr="00000CA6">
        <w:t xml:space="preserve"> attention</w:t>
      </w:r>
      <w:r w:rsidR="00FD276A">
        <w:t xml:space="preserve"> in relation to the bodily function of seeing</w:t>
      </w:r>
      <w:r>
        <w:t>, even if supervision is required as well</w:t>
      </w:r>
      <w:r w:rsidRPr="00000CA6">
        <w:t>.</w:t>
      </w:r>
      <w:r>
        <w:t xml:space="preserve"> That was, we submit, </w:t>
      </w:r>
      <w:r w:rsidR="00FD276A">
        <w:t>one of the</w:t>
      </w:r>
      <w:r>
        <w:t xml:space="preserve"> key point</w:t>
      </w:r>
      <w:r w:rsidR="00FD276A">
        <w:t>s</w:t>
      </w:r>
      <w:r>
        <w:t xml:space="preserve"> in that decision.</w:t>
      </w:r>
    </w:p>
    <w:p w:rsidR="00EF08BD" w:rsidRPr="00301F29" w:rsidRDefault="00EF08BD" w:rsidP="00301F29">
      <w:pPr>
        <w:jc w:val="both"/>
        <w:rPr>
          <w:b/>
          <w:bCs/>
        </w:rPr>
      </w:pPr>
      <w:r w:rsidRPr="00301F29">
        <w:rPr>
          <w:b/>
          <w:bCs/>
        </w:rPr>
        <w:t>Locating and cutting up food</w:t>
      </w:r>
    </w:p>
    <w:p w:rsidR="00301F29" w:rsidRPr="001411FC" w:rsidRDefault="00EF08BD" w:rsidP="00EE6524">
      <w:pPr>
        <w:pStyle w:val="ListParagraph"/>
        <w:numPr>
          <w:ilvl w:val="0"/>
          <w:numId w:val="1"/>
        </w:numPr>
        <w:ind w:left="360"/>
        <w:jc w:val="both"/>
        <w:rPr>
          <w:b/>
          <w:bCs/>
        </w:rPr>
      </w:pPr>
      <w:r>
        <w:t xml:space="preserve">The decision maker observes that help with cooking and other domestic tasks cannot be considered. We accept that that is right as a general proposition but the point in this case is not that Mr W needs help to cook, it is that he needs someone to substitute for the loss of the bodily function of seeing, without which cooking and cutting up food is impossible for him. This </w:t>
      </w:r>
      <w:r w:rsidR="00FD276A">
        <w:t>distinction is covered in</w:t>
      </w:r>
      <w:r>
        <w:t xml:space="preserve"> Lord Woolf’s speech in </w:t>
      </w:r>
      <w:proofErr w:type="spellStart"/>
      <w:r w:rsidRPr="001411FC">
        <w:rPr>
          <w:i/>
          <w:iCs/>
        </w:rPr>
        <w:t>Mallinson</w:t>
      </w:r>
      <w:proofErr w:type="spellEnd"/>
      <w:r w:rsidRPr="001411FC">
        <w:rPr>
          <w:i/>
          <w:iCs/>
        </w:rPr>
        <w:t>.</w:t>
      </w:r>
    </w:p>
    <w:p w:rsidR="00EF08BD" w:rsidRPr="00301F29" w:rsidRDefault="00EF08BD" w:rsidP="00301F29">
      <w:pPr>
        <w:jc w:val="both"/>
        <w:rPr>
          <w:b/>
          <w:bCs/>
        </w:rPr>
      </w:pPr>
      <w:r w:rsidRPr="00301F29">
        <w:rPr>
          <w:b/>
          <w:bCs/>
        </w:rPr>
        <w:t>Aids</w:t>
      </w:r>
    </w:p>
    <w:p w:rsidR="00301F29" w:rsidRDefault="003741D3" w:rsidP="00EE6524">
      <w:pPr>
        <w:pStyle w:val="ListParagraph"/>
        <w:numPr>
          <w:ilvl w:val="0"/>
          <w:numId w:val="1"/>
        </w:numPr>
        <w:ind w:left="360"/>
        <w:jc w:val="both"/>
      </w:pPr>
      <w:r>
        <w:t xml:space="preserve">The decision maker concludes that Mr W needs help to choose appropriate clothes and to deal with paperwork but that </w:t>
      </w:r>
      <w:r w:rsidR="007B51B0">
        <w:t xml:space="preserve">he </w:t>
      </w:r>
      <w:r>
        <w:t xml:space="preserve">could manage all his other care needs independently, with suitable aids where necessary. He has not specified what those aids </w:t>
      </w:r>
      <w:r w:rsidR="001411FC">
        <w:t>are</w:t>
      </w:r>
      <w:r w:rsidR="007B51B0">
        <w:t xml:space="preserve"> and it is not obvious what they might be.</w:t>
      </w:r>
    </w:p>
    <w:p w:rsidR="00301F29" w:rsidRDefault="00301F29" w:rsidP="00301F29">
      <w:pPr>
        <w:pStyle w:val="ListParagraph"/>
        <w:ind w:left="360"/>
        <w:jc w:val="both"/>
      </w:pPr>
    </w:p>
    <w:p w:rsidR="00EF08BD" w:rsidRDefault="007B51B0" w:rsidP="00301F29">
      <w:pPr>
        <w:pStyle w:val="ListParagraph"/>
        <w:numPr>
          <w:ilvl w:val="0"/>
          <w:numId w:val="1"/>
        </w:numPr>
        <w:ind w:left="360"/>
        <w:jc w:val="both"/>
      </w:pPr>
      <w:r>
        <w:t>We submit that if the respondent considers aids are appropriate the response should specify what they are</w:t>
      </w:r>
      <w:r w:rsidR="003741D3">
        <w:t>.</w:t>
      </w:r>
      <w:r w:rsidR="0031029A">
        <w:t xml:space="preserve"> </w:t>
      </w:r>
      <w:r>
        <w:t xml:space="preserve">This is based on the Upper Tribunal case </w:t>
      </w:r>
      <w:r w:rsidRPr="00301F29">
        <w:rPr>
          <w:i/>
          <w:iCs/>
        </w:rPr>
        <w:t xml:space="preserve">JM v SSWP </w:t>
      </w:r>
      <w:r>
        <w:t xml:space="preserve">[2017] UKUT 419 (AAC). That was a PIP case but we submit the same principle should apply in AA.  </w:t>
      </w:r>
    </w:p>
    <w:p w:rsidR="00301F29" w:rsidRDefault="00301F29" w:rsidP="00301F29">
      <w:pPr>
        <w:pStyle w:val="ListParagraph"/>
        <w:ind w:left="360"/>
        <w:jc w:val="both"/>
      </w:pPr>
    </w:p>
    <w:p w:rsidR="00301F29" w:rsidRPr="00301F29" w:rsidRDefault="00301F29" w:rsidP="00301F29">
      <w:pPr>
        <w:jc w:val="both"/>
        <w:rPr>
          <w:b/>
          <w:bCs/>
        </w:rPr>
      </w:pPr>
      <w:r w:rsidRPr="00301F29">
        <w:rPr>
          <w:b/>
          <w:bCs/>
        </w:rPr>
        <w:t>Conclusion</w:t>
      </w:r>
    </w:p>
    <w:p w:rsidR="00301F29" w:rsidRPr="00EF08BD" w:rsidRDefault="00301F29" w:rsidP="00301F29">
      <w:pPr>
        <w:pStyle w:val="ListParagraph"/>
        <w:numPr>
          <w:ilvl w:val="0"/>
          <w:numId w:val="1"/>
        </w:numPr>
        <w:ind w:left="360"/>
        <w:jc w:val="both"/>
      </w:pPr>
      <w:r>
        <w:t>We invite the tribunal to allow this appeal.</w:t>
      </w:r>
    </w:p>
    <w:p w:rsidR="00EF08BD" w:rsidRPr="00EF08BD" w:rsidRDefault="00EF08BD" w:rsidP="00301F29">
      <w:pPr>
        <w:rPr>
          <w:b/>
          <w:bCs/>
        </w:rPr>
      </w:pPr>
    </w:p>
    <w:p w:rsidR="00301F29" w:rsidRPr="00301F29" w:rsidRDefault="00301F29" w:rsidP="00301F29">
      <w:pPr>
        <w:pStyle w:val="NoSpacing"/>
      </w:pPr>
      <w:r w:rsidRPr="00301F29">
        <w:t>Epping Forest Citizens Advice</w:t>
      </w:r>
    </w:p>
    <w:p w:rsidR="00301F29" w:rsidRPr="00301F29" w:rsidRDefault="00301F29" w:rsidP="00301F29">
      <w:pPr>
        <w:pStyle w:val="NoSpacing"/>
      </w:pPr>
      <w:r w:rsidRPr="00301F29">
        <w:t>Loughton Library</w:t>
      </w:r>
    </w:p>
    <w:p w:rsidR="00301F29" w:rsidRPr="00301F29" w:rsidRDefault="00301F29" w:rsidP="00301F29">
      <w:pPr>
        <w:pStyle w:val="NoSpacing"/>
      </w:pPr>
      <w:r w:rsidRPr="00301F29">
        <w:t>Traps Hill</w:t>
      </w:r>
    </w:p>
    <w:p w:rsidR="00301F29" w:rsidRPr="00301F29" w:rsidRDefault="00301F29" w:rsidP="00301F29">
      <w:pPr>
        <w:pStyle w:val="NoSpacing"/>
      </w:pPr>
      <w:r w:rsidRPr="00301F29">
        <w:t>Loughton</w:t>
      </w:r>
    </w:p>
    <w:p w:rsidR="00301F29" w:rsidRPr="00301F29" w:rsidRDefault="00301F29" w:rsidP="00301F29">
      <w:pPr>
        <w:pStyle w:val="NoSpacing"/>
      </w:pPr>
      <w:r w:rsidRPr="00301F29">
        <w:t>Essex</w:t>
      </w:r>
    </w:p>
    <w:p w:rsidR="00301F29" w:rsidRPr="00301F29" w:rsidRDefault="00301F29" w:rsidP="00301F29">
      <w:pPr>
        <w:pStyle w:val="NoSpacing"/>
      </w:pPr>
      <w:r w:rsidRPr="00301F29">
        <w:t>IG10 1HD</w:t>
      </w:r>
    </w:p>
    <w:p w:rsidR="00301F29" w:rsidRPr="00301F29" w:rsidRDefault="00301F29" w:rsidP="00301F29">
      <w:pPr>
        <w:pStyle w:val="NoSpacing"/>
      </w:pPr>
    </w:p>
    <w:p w:rsidR="00301F29" w:rsidRPr="00301F29" w:rsidRDefault="0063146A" w:rsidP="00301F29">
      <w:pPr>
        <w:pStyle w:val="NoSpacing"/>
      </w:pPr>
      <w:hyperlink r:id="rId7" w:history="1">
        <w:r w:rsidR="00301F29" w:rsidRPr="00301F29">
          <w:rPr>
            <w:rStyle w:val="Hyperlink"/>
          </w:rPr>
          <w:t>assloughton@efcab.cabnet.org.uk</w:t>
        </w:r>
      </w:hyperlink>
    </w:p>
    <w:p w:rsidR="00301F29" w:rsidRPr="00301F29" w:rsidRDefault="00301F29" w:rsidP="00301F29">
      <w:pPr>
        <w:pStyle w:val="NoSpacing"/>
      </w:pPr>
    </w:p>
    <w:p w:rsidR="00301F29" w:rsidRDefault="00301F29" w:rsidP="00301F29">
      <w:pPr>
        <w:pStyle w:val="NoSpacing"/>
      </w:pPr>
      <w:r w:rsidRPr="00301F29">
        <w:t>0208 418 0763</w:t>
      </w:r>
    </w:p>
    <w:p w:rsidR="00301F29" w:rsidRDefault="00301F29" w:rsidP="00301F29">
      <w:pPr>
        <w:pStyle w:val="NoSpacing"/>
      </w:pPr>
    </w:p>
    <w:p w:rsidR="00301F29" w:rsidRPr="00301F29" w:rsidRDefault="00301F29" w:rsidP="00301F29">
      <w:pPr>
        <w:pStyle w:val="NoSpacing"/>
      </w:pPr>
      <w:r>
        <w:t>10 August 2018</w:t>
      </w:r>
    </w:p>
    <w:p w:rsidR="00301F29" w:rsidRPr="00301F29" w:rsidRDefault="00301F29" w:rsidP="00301F29"/>
    <w:p w:rsidR="00690DAC" w:rsidRPr="00690DAC" w:rsidRDefault="00690DAC" w:rsidP="00690DAC"/>
    <w:sectPr w:rsidR="00690DAC" w:rsidRPr="00690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F4D"/>
    <w:multiLevelType w:val="hybridMultilevel"/>
    <w:tmpl w:val="687E14A8"/>
    <w:lvl w:ilvl="0" w:tplc="F5323E00">
      <w:start w:val="1"/>
      <w:numFmt w:val="decimal"/>
      <w:lvlText w:val="%1."/>
      <w:lvlJc w:val="left"/>
      <w:pPr>
        <w:ind w:left="720" w:hanging="360"/>
      </w:pPr>
      <w:rPr>
        <w:i w:val="0"/>
        <w:iCs w:val="0"/>
      </w:rPr>
    </w:lvl>
    <w:lvl w:ilvl="1" w:tplc="9CC0DAFC">
      <w:start w:val="1"/>
      <w:numFmt w:val="decimal"/>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AC"/>
    <w:rsid w:val="00000CA6"/>
    <w:rsid w:val="00120A61"/>
    <w:rsid w:val="001411FC"/>
    <w:rsid w:val="00247EA0"/>
    <w:rsid w:val="00283B1D"/>
    <w:rsid w:val="002F272B"/>
    <w:rsid w:val="00301F29"/>
    <w:rsid w:val="0031029A"/>
    <w:rsid w:val="003631CE"/>
    <w:rsid w:val="003741D3"/>
    <w:rsid w:val="003F7FEF"/>
    <w:rsid w:val="004E7D22"/>
    <w:rsid w:val="0063146A"/>
    <w:rsid w:val="00690DAC"/>
    <w:rsid w:val="007160AE"/>
    <w:rsid w:val="007B51B0"/>
    <w:rsid w:val="00813F46"/>
    <w:rsid w:val="00EE6524"/>
    <w:rsid w:val="00EF08BD"/>
    <w:rsid w:val="00F95FA3"/>
    <w:rsid w:val="00FD276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7D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F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29"/>
    <w:rPr>
      <w:rFonts w:ascii="Tahoma" w:hAnsi="Tahoma" w:cs="Tahoma"/>
      <w:sz w:val="16"/>
      <w:szCs w:val="16"/>
    </w:rPr>
  </w:style>
  <w:style w:type="character" w:styleId="Hyperlink">
    <w:name w:val="Hyperlink"/>
    <w:basedOn w:val="DefaultParagraphFont"/>
    <w:uiPriority w:val="99"/>
    <w:unhideWhenUsed/>
    <w:rsid w:val="00301F29"/>
    <w:rPr>
      <w:color w:val="0000FF" w:themeColor="hyperlink"/>
      <w:u w:val="single"/>
    </w:rPr>
  </w:style>
  <w:style w:type="paragraph" w:styleId="NoSpacing">
    <w:name w:val="No Spacing"/>
    <w:uiPriority w:val="1"/>
    <w:qFormat/>
    <w:rsid w:val="00301F29"/>
    <w:pPr>
      <w:spacing w:after="0"/>
    </w:pPr>
  </w:style>
  <w:style w:type="paragraph" w:styleId="ListParagraph">
    <w:name w:val="List Paragraph"/>
    <w:basedOn w:val="Normal"/>
    <w:uiPriority w:val="34"/>
    <w:qFormat/>
    <w:rsid w:val="00301F29"/>
    <w:pPr>
      <w:ind w:left="720"/>
      <w:contextualSpacing/>
    </w:pPr>
  </w:style>
  <w:style w:type="character" w:customStyle="1" w:styleId="Heading2Char">
    <w:name w:val="Heading 2 Char"/>
    <w:basedOn w:val="DefaultParagraphFont"/>
    <w:link w:val="Heading2"/>
    <w:uiPriority w:val="9"/>
    <w:semiHidden/>
    <w:rsid w:val="004E7D2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7D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F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F29"/>
    <w:rPr>
      <w:rFonts w:ascii="Tahoma" w:hAnsi="Tahoma" w:cs="Tahoma"/>
      <w:sz w:val="16"/>
      <w:szCs w:val="16"/>
    </w:rPr>
  </w:style>
  <w:style w:type="character" w:styleId="Hyperlink">
    <w:name w:val="Hyperlink"/>
    <w:basedOn w:val="DefaultParagraphFont"/>
    <w:uiPriority w:val="99"/>
    <w:unhideWhenUsed/>
    <w:rsid w:val="00301F29"/>
    <w:rPr>
      <w:color w:val="0000FF" w:themeColor="hyperlink"/>
      <w:u w:val="single"/>
    </w:rPr>
  </w:style>
  <w:style w:type="paragraph" w:styleId="NoSpacing">
    <w:name w:val="No Spacing"/>
    <w:uiPriority w:val="1"/>
    <w:qFormat/>
    <w:rsid w:val="00301F29"/>
    <w:pPr>
      <w:spacing w:after="0"/>
    </w:pPr>
  </w:style>
  <w:style w:type="paragraph" w:styleId="ListParagraph">
    <w:name w:val="List Paragraph"/>
    <w:basedOn w:val="Normal"/>
    <w:uiPriority w:val="34"/>
    <w:qFormat/>
    <w:rsid w:val="00301F29"/>
    <w:pPr>
      <w:ind w:left="720"/>
      <w:contextualSpacing/>
    </w:pPr>
  </w:style>
  <w:style w:type="character" w:customStyle="1" w:styleId="Heading2Char">
    <w:name w:val="Heading 2 Char"/>
    <w:basedOn w:val="DefaultParagraphFont"/>
    <w:link w:val="Heading2"/>
    <w:uiPriority w:val="9"/>
    <w:semiHidden/>
    <w:rsid w:val="004E7D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ssloughton@efcab.cab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3</cp:revision>
  <dcterms:created xsi:type="dcterms:W3CDTF">2019-07-23T08:48:00Z</dcterms:created>
  <dcterms:modified xsi:type="dcterms:W3CDTF">2019-07-23T08:48:00Z</dcterms:modified>
</cp:coreProperties>
</file>