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16" w:type="dxa"/>
        <w:tblLayout w:type="fixed"/>
        <w:tblLook w:val="04A0" w:firstRow="1" w:lastRow="0" w:firstColumn="1" w:lastColumn="0" w:noHBand="0" w:noVBand="1"/>
      </w:tblPr>
      <w:tblGrid>
        <w:gridCol w:w="1526"/>
        <w:gridCol w:w="2869"/>
        <w:gridCol w:w="3136"/>
        <w:gridCol w:w="1878"/>
        <w:gridCol w:w="7"/>
      </w:tblGrid>
      <w:tr w:rsidR="007B51F0" w14:paraId="14D6F2A8" w14:textId="77777777" w:rsidTr="000A2E32">
        <w:tc>
          <w:tcPr>
            <w:tcW w:w="4395" w:type="dxa"/>
            <w:gridSpan w:val="2"/>
            <w:hideMark/>
          </w:tcPr>
          <w:p w14:paraId="1EE3F21D" w14:textId="108C8B94" w:rsidR="007B51F0" w:rsidRDefault="007B51F0" w:rsidP="000A2E32">
            <w:pPr>
              <w:ind w:right="-105"/>
              <w:rPr>
                <w:rFonts w:ascii="Arial" w:hAnsi="Arial" w:cs="Arial"/>
                <w:sz w:val="24"/>
                <w:szCs w:val="24"/>
                <w:lang w:eastAsia="ja-JP"/>
              </w:rPr>
            </w:pPr>
            <w:r>
              <w:rPr>
                <w:rFonts w:ascii="Arial" w:hAnsi="Arial" w:cs="Arial"/>
                <w:sz w:val="24"/>
                <w:szCs w:val="24"/>
                <w:lang w:eastAsia="ja-JP"/>
              </w:rPr>
              <w:t xml:space="preserve">In the First Tier Tribunal (Social Entitlement </w:t>
            </w:r>
            <w:proofErr w:type="gramStart"/>
            <w:r w:rsidR="004C1212">
              <w:rPr>
                <w:rFonts w:ascii="Arial" w:hAnsi="Arial" w:cs="Arial"/>
                <w:sz w:val="24"/>
                <w:szCs w:val="24"/>
                <w:lang w:eastAsia="ja-JP"/>
              </w:rPr>
              <w:t xml:space="preserve">Chamber)  </w:t>
            </w:r>
            <w:r w:rsidR="000A2E32">
              <w:rPr>
                <w:rFonts w:ascii="Arial" w:hAnsi="Arial" w:cs="Arial"/>
                <w:sz w:val="24"/>
                <w:szCs w:val="24"/>
                <w:lang w:eastAsia="ja-JP"/>
              </w:rPr>
              <w:t xml:space="preserve"> </w:t>
            </w:r>
            <w:proofErr w:type="gramEnd"/>
            <w:r w:rsidR="000A2E32">
              <w:rPr>
                <w:rFonts w:ascii="Arial" w:hAnsi="Arial" w:cs="Arial"/>
                <w:sz w:val="24"/>
                <w:szCs w:val="24"/>
                <w:lang w:eastAsia="ja-JP"/>
              </w:rPr>
              <w:t xml:space="preserve">                                              </w:t>
            </w:r>
          </w:p>
        </w:tc>
        <w:tc>
          <w:tcPr>
            <w:tcW w:w="5021" w:type="dxa"/>
            <w:gridSpan w:val="3"/>
            <w:hideMark/>
          </w:tcPr>
          <w:p w14:paraId="00131B73" w14:textId="2219995B" w:rsidR="00833ABE" w:rsidRDefault="007B51F0">
            <w:pPr>
              <w:ind w:left="-4583"/>
              <w:jc w:val="right"/>
              <w:rPr>
                <w:rFonts w:ascii="Arial" w:hAnsi="Arial" w:cs="Arial"/>
                <w:sz w:val="24"/>
                <w:szCs w:val="24"/>
              </w:rPr>
            </w:pPr>
            <w:r>
              <w:rPr>
                <w:rFonts w:ascii="Arial" w:hAnsi="Arial" w:cs="Arial"/>
                <w:sz w:val="24"/>
                <w:szCs w:val="24"/>
                <w:lang w:eastAsia="ja-JP"/>
              </w:rPr>
              <w:t>Case No:</w:t>
            </w:r>
            <w:r>
              <w:rPr>
                <w:rFonts w:ascii="Arial" w:hAnsi="Arial" w:cs="Arial"/>
                <w:sz w:val="24"/>
                <w:szCs w:val="24"/>
              </w:rPr>
              <w:t xml:space="preserve"> </w:t>
            </w:r>
          </w:p>
          <w:p w14:paraId="29CC11E3" w14:textId="0C6B0107" w:rsidR="007B51F0" w:rsidRDefault="000A2E32">
            <w:pPr>
              <w:ind w:left="-4583"/>
              <w:jc w:val="right"/>
              <w:rPr>
                <w:rFonts w:ascii="Arial" w:hAnsi="Arial" w:cs="Arial"/>
                <w:sz w:val="24"/>
                <w:szCs w:val="24"/>
                <w:lang w:eastAsia="ja-JP"/>
              </w:rPr>
            </w:pPr>
            <w:r>
              <w:rPr>
                <w:rFonts w:ascii="Arial" w:hAnsi="Arial" w:cs="Arial"/>
                <w:sz w:val="24"/>
                <w:szCs w:val="24"/>
              </w:rPr>
              <w:t xml:space="preserve">           </w:t>
            </w:r>
          </w:p>
        </w:tc>
      </w:tr>
      <w:tr w:rsidR="000A2E32" w14:paraId="6D1B8707" w14:textId="77777777" w:rsidTr="000A2E32">
        <w:tc>
          <w:tcPr>
            <w:tcW w:w="4395" w:type="dxa"/>
            <w:gridSpan w:val="2"/>
          </w:tcPr>
          <w:p w14:paraId="4F47E276" w14:textId="6E165785" w:rsidR="000A2E32" w:rsidRDefault="000A2E32" w:rsidP="000A2E32">
            <w:pPr>
              <w:ind w:right="-3223"/>
              <w:rPr>
                <w:rFonts w:ascii="Arial" w:hAnsi="Arial" w:cs="Arial"/>
                <w:sz w:val="24"/>
                <w:szCs w:val="24"/>
                <w:lang w:eastAsia="ja-JP"/>
              </w:rPr>
            </w:pPr>
            <w:r>
              <w:rPr>
                <w:rFonts w:ascii="Arial" w:hAnsi="Arial" w:cs="Arial"/>
                <w:sz w:val="24"/>
                <w:szCs w:val="24"/>
                <w:lang w:eastAsia="ja-JP"/>
              </w:rPr>
              <w:t xml:space="preserve">                                                                                            </w:t>
            </w:r>
          </w:p>
        </w:tc>
        <w:tc>
          <w:tcPr>
            <w:tcW w:w="5021" w:type="dxa"/>
            <w:gridSpan w:val="3"/>
          </w:tcPr>
          <w:p w14:paraId="13C7A542" w14:textId="413613BE" w:rsidR="000A2E32" w:rsidRDefault="000A2E32" w:rsidP="000A2E32">
            <w:pPr>
              <w:ind w:left="-4583"/>
              <w:jc w:val="center"/>
              <w:rPr>
                <w:rFonts w:ascii="Arial" w:hAnsi="Arial" w:cs="Arial"/>
                <w:sz w:val="24"/>
                <w:szCs w:val="24"/>
                <w:lang w:eastAsia="ja-JP"/>
              </w:rPr>
            </w:pPr>
            <w:r>
              <w:rPr>
                <w:rFonts w:ascii="Arial" w:hAnsi="Arial" w:cs="Arial"/>
                <w:sz w:val="24"/>
                <w:szCs w:val="24"/>
                <w:lang w:eastAsia="ja-JP"/>
              </w:rPr>
              <w:t xml:space="preserve">                                                                                                                 </w:t>
            </w:r>
          </w:p>
        </w:tc>
      </w:tr>
      <w:tr w:rsidR="000A2E32" w14:paraId="1794EA43" w14:textId="77777777" w:rsidTr="000A2E32">
        <w:tc>
          <w:tcPr>
            <w:tcW w:w="4395" w:type="dxa"/>
            <w:gridSpan w:val="2"/>
          </w:tcPr>
          <w:p w14:paraId="6E68D964" w14:textId="77777777" w:rsidR="000A2E32" w:rsidRDefault="000A2E32" w:rsidP="000A2E32">
            <w:pPr>
              <w:ind w:right="-3223"/>
              <w:rPr>
                <w:rFonts w:ascii="Arial" w:hAnsi="Arial" w:cs="Arial"/>
                <w:sz w:val="24"/>
                <w:szCs w:val="24"/>
                <w:lang w:eastAsia="ja-JP"/>
              </w:rPr>
            </w:pPr>
          </w:p>
        </w:tc>
        <w:tc>
          <w:tcPr>
            <w:tcW w:w="5021" w:type="dxa"/>
            <w:gridSpan w:val="3"/>
          </w:tcPr>
          <w:p w14:paraId="4768B92E" w14:textId="77777777" w:rsidR="000A2E32" w:rsidRDefault="000A2E32" w:rsidP="000A2E32">
            <w:pPr>
              <w:ind w:left="-4583"/>
              <w:jc w:val="center"/>
              <w:rPr>
                <w:rFonts w:ascii="Arial" w:hAnsi="Arial" w:cs="Arial"/>
                <w:sz w:val="24"/>
                <w:szCs w:val="24"/>
                <w:lang w:eastAsia="ja-JP"/>
              </w:rPr>
            </w:pPr>
          </w:p>
        </w:tc>
      </w:tr>
      <w:tr w:rsidR="000A2E32" w14:paraId="04115342" w14:textId="77777777" w:rsidTr="000A2E32">
        <w:tc>
          <w:tcPr>
            <w:tcW w:w="4395" w:type="dxa"/>
            <w:gridSpan w:val="2"/>
          </w:tcPr>
          <w:p w14:paraId="2091205E" w14:textId="3A0F8499" w:rsidR="000A2E32" w:rsidRDefault="000A2E32">
            <w:pPr>
              <w:rPr>
                <w:rFonts w:ascii="Arial" w:hAnsi="Arial" w:cs="Arial"/>
                <w:sz w:val="24"/>
                <w:szCs w:val="24"/>
                <w:lang w:eastAsia="ja-JP"/>
              </w:rPr>
            </w:pPr>
            <w:r>
              <w:rPr>
                <w:rFonts w:ascii="Arial" w:hAnsi="Arial" w:cs="Arial"/>
                <w:sz w:val="24"/>
                <w:szCs w:val="24"/>
                <w:lang w:eastAsia="ja-JP"/>
              </w:rPr>
              <w:t xml:space="preserve">                                                                                                                                                                     </w:t>
            </w:r>
          </w:p>
        </w:tc>
        <w:tc>
          <w:tcPr>
            <w:tcW w:w="5021" w:type="dxa"/>
            <w:gridSpan w:val="3"/>
          </w:tcPr>
          <w:p w14:paraId="7A936833" w14:textId="77777777" w:rsidR="000A2E32" w:rsidRDefault="000A2E32" w:rsidP="000A2E32">
            <w:pPr>
              <w:ind w:left="-4583"/>
              <w:jc w:val="center"/>
              <w:rPr>
                <w:rFonts w:ascii="Arial" w:hAnsi="Arial" w:cs="Arial"/>
                <w:sz w:val="24"/>
                <w:szCs w:val="24"/>
                <w:lang w:eastAsia="ja-JP"/>
              </w:rPr>
            </w:pPr>
          </w:p>
        </w:tc>
      </w:tr>
      <w:tr w:rsidR="007B51F0" w14:paraId="7B6C5169" w14:textId="77777777" w:rsidTr="000A2E32">
        <w:tc>
          <w:tcPr>
            <w:tcW w:w="4395" w:type="dxa"/>
            <w:gridSpan w:val="2"/>
          </w:tcPr>
          <w:p w14:paraId="1527CB8F" w14:textId="795EC2C7" w:rsidR="007B51F0" w:rsidRDefault="000A2E32">
            <w:pPr>
              <w:rPr>
                <w:rFonts w:ascii="Arial" w:hAnsi="Arial" w:cs="Arial"/>
                <w:sz w:val="24"/>
                <w:szCs w:val="24"/>
                <w:lang w:eastAsia="ja-JP"/>
              </w:rPr>
            </w:pPr>
            <w:r>
              <w:rPr>
                <w:rFonts w:ascii="Arial" w:hAnsi="Arial" w:cs="Arial"/>
                <w:sz w:val="24"/>
                <w:szCs w:val="24"/>
                <w:lang w:eastAsia="ja-JP"/>
              </w:rPr>
              <w:t xml:space="preserve">                                                                                                                                                    </w:t>
            </w:r>
          </w:p>
        </w:tc>
        <w:tc>
          <w:tcPr>
            <w:tcW w:w="5021" w:type="dxa"/>
            <w:gridSpan w:val="3"/>
          </w:tcPr>
          <w:p w14:paraId="32B8ED17" w14:textId="77777777" w:rsidR="007B51F0" w:rsidRDefault="007B51F0">
            <w:pPr>
              <w:jc w:val="right"/>
              <w:rPr>
                <w:rFonts w:ascii="Arial" w:hAnsi="Arial" w:cs="Arial"/>
                <w:sz w:val="24"/>
                <w:szCs w:val="24"/>
                <w:lang w:eastAsia="ja-JP"/>
              </w:rPr>
            </w:pPr>
          </w:p>
        </w:tc>
      </w:tr>
      <w:tr w:rsidR="007B51F0" w14:paraId="0656B826" w14:textId="77777777" w:rsidTr="000A2E32">
        <w:trPr>
          <w:gridAfter w:val="1"/>
          <w:wAfter w:w="7" w:type="dxa"/>
          <w:cantSplit/>
        </w:trPr>
        <w:tc>
          <w:tcPr>
            <w:tcW w:w="9409" w:type="dxa"/>
            <w:gridSpan w:val="4"/>
            <w:hideMark/>
          </w:tcPr>
          <w:p w14:paraId="057C22FB" w14:textId="77777777" w:rsidR="007B51F0" w:rsidRDefault="007B51F0">
            <w:pPr>
              <w:ind w:right="1667"/>
              <w:rPr>
                <w:rFonts w:ascii="Arial" w:hAnsi="Arial" w:cs="Arial"/>
                <w:sz w:val="24"/>
                <w:szCs w:val="24"/>
                <w:lang w:eastAsia="ja-JP"/>
              </w:rPr>
            </w:pPr>
            <w:r>
              <w:rPr>
                <w:rFonts w:ascii="Arial" w:hAnsi="Arial" w:cs="Arial"/>
                <w:sz w:val="24"/>
                <w:szCs w:val="24"/>
                <w:lang w:eastAsia="ja-JP"/>
              </w:rPr>
              <w:t>BETWEEN:</w:t>
            </w:r>
          </w:p>
        </w:tc>
      </w:tr>
      <w:tr w:rsidR="007B51F0" w14:paraId="56771017" w14:textId="77777777" w:rsidTr="000A2E32">
        <w:trPr>
          <w:gridAfter w:val="1"/>
          <w:wAfter w:w="7" w:type="dxa"/>
          <w:cantSplit/>
        </w:trPr>
        <w:tc>
          <w:tcPr>
            <w:tcW w:w="1526" w:type="dxa"/>
            <w:vAlign w:val="center"/>
          </w:tcPr>
          <w:p w14:paraId="47E34FCA" w14:textId="77777777" w:rsidR="007B51F0" w:rsidRDefault="007B51F0">
            <w:pPr>
              <w:jc w:val="right"/>
              <w:rPr>
                <w:rFonts w:ascii="Arial" w:hAnsi="Arial" w:cs="Arial"/>
                <w:sz w:val="24"/>
                <w:szCs w:val="24"/>
                <w:lang w:eastAsia="ja-JP"/>
              </w:rPr>
            </w:pPr>
          </w:p>
        </w:tc>
        <w:tc>
          <w:tcPr>
            <w:tcW w:w="6005" w:type="dxa"/>
            <w:gridSpan w:val="2"/>
            <w:hideMark/>
          </w:tcPr>
          <w:p w14:paraId="7678C4E2" w14:textId="1DA6C67E" w:rsidR="007B51F0" w:rsidRDefault="00081D16">
            <w:pPr>
              <w:jc w:val="center"/>
              <w:rPr>
                <w:rFonts w:ascii="Arial" w:hAnsi="Arial" w:cs="Arial"/>
                <w:sz w:val="24"/>
                <w:szCs w:val="24"/>
                <w:lang w:eastAsia="ja-JP"/>
              </w:rPr>
            </w:pPr>
            <w:r>
              <w:rPr>
                <w:rFonts w:ascii="Arial" w:hAnsi="Arial" w:cs="Arial"/>
                <w:sz w:val="24"/>
                <w:szCs w:val="24"/>
                <w:lang w:eastAsia="ja-JP"/>
              </w:rPr>
              <w:t xml:space="preserve">MS </w:t>
            </w:r>
            <w:r w:rsidR="00D66E9C">
              <w:rPr>
                <w:rFonts w:ascii="Arial" w:hAnsi="Arial" w:cs="Arial"/>
                <w:sz w:val="24"/>
                <w:szCs w:val="24"/>
                <w:lang w:eastAsia="ja-JP"/>
              </w:rPr>
              <w:t>X</w:t>
            </w:r>
          </w:p>
        </w:tc>
        <w:tc>
          <w:tcPr>
            <w:tcW w:w="1878" w:type="dxa"/>
            <w:vAlign w:val="center"/>
            <w:hideMark/>
          </w:tcPr>
          <w:p w14:paraId="1225FD67" w14:textId="77777777" w:rsidR="007B51F0" w:rsidRDefault="007B51F0">
            <w:pPr>
              <w:jc w:val="right"/>
              <w:rPr>
                <w:rFonts w:ascii="Arial" w:hAnsi="Arial" w:cs="Arial"/>
                <w:b/>
                <w:sz w:val="24"/>
                <w:szCs w:val="24"/>
                <w:u w:val="single"/>
                <w:lang w:eastAsia="ja-JP"/>
              </w:rPr>
            </w:pPr>
            <w:r>
              <w:rPr>
                <w:rFonts w:ascii="Arial" w:hAnsi="Arial" w:cs="Arial"/>
                <w:b/>
                <w:sz w:val="24"/>
                <w:szCs w:val="24"/>
                <w:u w:val="single"/>
                <w:lang w:eastAsia="ja-JP"/>
              </w:rPr>
              <w:t>Appellant</w:t>
            </w:r>
          </w:p>
        </w:tc>
      </w:tr>
      <w:tr w:rsidR="007B51F0" w14:paraId="779D4451" w14:textId="77777777" w:rsidTr="000A2E32">
        <w:trPr>
          <w:gridAfter w:val="1"/>
          <w:wAfter w:w="7" w:type="dxa"/>
          <w:cantSplit/>
          <w:trHeight w:val="95"/>
        </w:trPr>
        <w:tc>
          <w:tcPr>
            <w:tcW w:w="1526" w:type="dxa"/>
            <w:vAlign w:val="center"/>
          </w:tcPr>
          <w:p w14:paraId="30B11A9F" w14:textId="77777777" w:rsidR="007B51F0" w:rsidRDefault="007B51F0">
            <w:pPr>
              <w:rPr>
                <w:rFonts w:ascii="Arial" w:hAnsi="Arial" w:cs="Arial"/>
                <w:sz w:val="24"/>
                <w:szCs w:val="24"/>
                <w:lang w:eastAsia="ja-JP"/>
              </w:rPr>
            </w:pPr>
          </w:p>
        </w:tc>
        <w:tc>
          <w:tcPr>
            <w:tcW w:w="6005" w:type="dxa"/>
            <w:gridSpan w:val="2"/>
          </w:tcPr>
          <w:p w14:paraId="15571E8E" w14:textId="77777777" w:rsidR="007B51F0" w:rsidRDefault="007B51F0">
            <w:pPr>
              <w:rPr>
                <w:rFonts w:ascii="Arial" w:hAnsi="Arial" w:cs="Arial"/>
                <w:smallCaps/>
                <w:sz w:val="24"/>
                <w:szCs w:val="24"/>
                <w:lang w:eastAsia="ja-JP"/>
              </w:rPr>
            </w:pPr>
          </w:p>
        </w:tc>
        <w:tc>
          <w:tcPr>
            <w:tcW w:w="1878" w:type="dxa"/>
            <w:vAlign w:val="center"/>
          </w:tcPr>
          <w:p w14:paraId="4A3BEA6D" w14:textId="77777777" w:rsidR="007B51F0" w:rsidRDefault="007B51F0">
            <w:pPr>
              <w:rPr>
                <w:rFonts w:ascii="Arial" w:hAnsi="Arial" w:cs="Arial"/>
                <w:sz w:val="24"/>
                <w:szCs w:val="24"/>
                <w:lang w:eastAsia="ja-JP"/>
              </w:rPr>
            </w:pPr>
          </w:p>
        </w:tc>
      </w:tr>
      <w:tr w:rsidR="007B51F0" w14:paraId="4F6E900E" w14:textId="77777777" w:rsidTr="000A2E32">
        <w:trPr>
          <w:gridAfter w:val="1"/>
          <w:wAfter w:w="7" w:type="dxa"/>
          <w:cantSplit/>
        </w:trPr>
        <w:tc>
          <w:tcPr>
            <w:tcW w:w="9409" w:type="dxa"/>
            <w:gridSpan w:val="4"/>
          </w:tcPr>
          <w:p w14:paraId="6752C6C4" w14:textId="77777777" w:rsidR="007B51F0" w:rsidRDefault="007B51F0">
            <w:pPr>
              <w:rPr>
                <w:rFonts w:ascii="Arial" w:hAnsi="Arial" w:cs="Arial"/>
                <w:sz w:val="24"/>
                <w:szCs w:val="24"/>
                <w:lang w:eastAsia="ja-JP"/>
              </w:rPr>
            </w:pPr>
          </w:p>
          <w:p w14:paraId="6DA04A68" w14:textId="77777777" w:rsidR="007B51F0" w:rsidRDefault="007B51F0">
            <w:pPr>
              <w:jc w:val="center"/>
              <w:rPr>
                <w:rFonts w:ascii="Arial" w:hAnsi="Arial" w:cs="Arial"/>
                <w:sz w:val="24"/>
                <w:szCs w:val="24"/>
                <w:lang w:eastAsia="ja-JP"/>
              </w:rPr>
            </w:pPr>
            <w:r>
              <w:rPr>
                <w:rFonts w:ascii="Arial" w:hAnsi="Arial" w:cs="Arial"/>
                <w:sz w:val="24"/>
                <w:szCs w:val="24"/>
                <w:lang w:eastAsia="ja-JP"/>
              </w:rPr>
              <w:t>- and -</w:t>
            </w:r>
          </w:p>
          <w:p w14:paraId="395365A0" w14:textId="77777777" w:rsidR="007B51F0" w:rsidRDefault="007B51F0">
            <w:pPr>
              <w:jc w:val="center"/>
              <w:rPr>
                <w:rFonts w:ascii="Arial" w:hAnsi="Arial" w:cs="Arial"/>
                <w:sz w:val="24"/>
                <w:szCs w:val="24"/>
                <w:lang w:eastAsia="ja-JP"/>
              </w:rPr>
            </w:pPr>
          </w:p>
        </w:tc>
      </w:tr>
      <w:tr w:rsidR="007B51F0" w14:paraId="086ABFF7" w14:textId="77777777" w:rsidTr="000A2E32">
        <w:trPr>
          <w:gridAfter w:val="1"/>
          <w:wAfter w:w="7" w:type="dxa"/>
          <w:cantSplit/>
        </w:trPr>
        <w:tc>
          <w:tcPr>
            <w:tcW w:w="1526" w:type="dxa"/>
            <w:vAlign w:val="center"/>
          </w:tcPr>
          <w:p w14:paraId="5F993643" w14:textId="77777777" w:rsidR="007B51F0" w:rsidRDefault="007B51F0">
            <w:pPr>
              <w:jc w:val="right"/>
              <w:rPr>
                <w:rFonts w:ascii="Arial" w:hAnsi="Arial" w:cs="Arial"/>
                <w:sz w:val="24"/>
                <w:szCs w:val="24"/>
                <w:lang w:eastAsia="ja-JP"/>
              </w:rPr>
            </w:pPr>
          </w:p>
        </w:tc>
        <w:tc>
          <w:tcPr>
            <w:tcW w:w="6005" w:type="dxa"/>
            <w:gridSpan w:val="2"/>
            <w:hideMark/>
          </w:tcPr>
          <w:p w14:paraId="13C385A1" w14:textId="77777777" w:rsidR="007B51F0" w:rsidRDefault="007B51F0">
            <w:pPr>
              <w:jc w:val="center"/>
              <w:rPr>
                <w:rFonts w:ascii="Arial" w:hAnsi="Arial" w:cs="Arial"/>
                <w:sz w:val="24"/>
                <w:szCs w:val="24"/>
                <w:lang w:eastAsia="ja-JP"/>
              </w:rPr>
            </w:pPr>
            <w:r>
              <w:rPr>
                <w:rFonts w:ascii="Arial" w:hAnsi="Arial" w:cs="Arial"/>
                <w:sz w:val="24"/>
                <w:szCs w:val="24"/>
                <w:lang w:eastAsia="ja-JP"/>
              </w:rPr>
              <w:t>SECRETARY OF STATE FOR WORK AND PENSIONS</w:t>
            </w:r>
          </w:p>
        </w:tc>
        <w:tc>
          <w:tcPr>
            <w:tcW w:w="1878" w:type="dxa"/>
            <w:vAlign w:val="center"/>
            <w:hideMark/>
          </w:tcPr>
          <w:p w14:paraId="4EEA2A6F" w14:textId="77777777" w:rsidR="007B51F0" w:rsidRDefault="007B51F0">
            <w:pPr>
              <w:jc w:val="right"/>
              <w:rPr>
                <w:rFonts w:ascii="Arial" w:hAnsi="Arial" w:cs="Arial"/>
                <w:b/>
                <w:sz w:val="24"/>
                <w:szCs w:val="24"/>
                <w:u w:val="single"/>
                <w:lang w:eastAsia="ja-JP"/>
              </w:rPr>
            </w:pPr>
            <w:r>
              <w:rPr>
                <w:rFonts w:ascii="Arial" w:hAnsi="Arial" w:cs="Arial"/>
                <w:b/>
                <w:sz w:val="24"/>
                <w:szCs w:val="24"/>
                <w:u w:val="single"/>
                <w:lang w:eastAsia="ja-JP"/>
              </w:rPr>
              <w:t>Respondent</w:t>
            </w:r>
          </w:p>
        </w:tc>
      </w:tr>
      <w:tr w:rsidR="007B51F0" w14:paraId="5B50BCD8" w14:textId="77777777" w:rsidTr="000A2E32">
        <w:trPr>
          <w:gridAfter w:val="1"/>
          <w:wAfter w:w="7" w:type="dxa"/>
          <w:cantSplit/>
        </w:trPr>
        <w:tc>
          <w:tcPr>
            <w:tcW w:w="1526" w:type="dxa"/>
          </w:tcPr>
          <w:p w14:paraId="02531FD4" w14:textId="77777777" w:rsidR="007B51F0" w:rsidRDefault="007B51F0">
            <w:pPr>
              <w:jc w:val="center"/>
              <w:rPr>
                <w:rFonts w:ascii="Arial" w:hAnsi="Arial" w:cs="Arial"/>
                <w:sz w:val="24"/>
                <w:szCs w:val="24"/>
                <w:lang w:eastAsia="ja-JP"/>
              </w:rPr>
            </w:pPr>
          </w:p>
        </w:tc>
        <w:tc>
          <w:tcPr>
            <w:tcW w:w="6005" w:type="dxa"/>
            <w:gridSpan w:val="2"/>
          </w:tcPr>
          <w:p w14:paraId="49F8CB3A" w14:textId="77777777" w:rsidR="007B51F0" w:rsidRDefault="007B51F0">
            <w:pPr>
              <w:jc w:val="center"/>
              <w:rPr>
                <w:rFonts w:ascii="Arial" w:hAnsi="Arial" w:cs="Arial"/>
                <w:smallCaps/>
                <w:sz w:val="24"/>
                <w:szCs w:val="24"/>
                <w:lang w:eastAsia="ja-JP"/>
              </w:rPr>
            </w:pPr>
          </w:p>
        </w:tc>
        <w:tc>
          <w:tcPr>
            <w:tcW w:w="1878" w:type="dxa"/>
            <w:vAlign w:val="center"/>
          </w:tcPr>
          <w:p w14:paraId="68994749" w14:textId="77777777" w:rsidR="007B51F0" w:rsidRDefault="007B51F0">
            <w:pPr>
              <w:jc w:val="right"/>
              <w:rPr>
                <w:rFonts w:ascii="Arial" w:hAnsi="Arial" w:cs="Arial"/>
                <w:sz w:val="24"/>
                <w:szCs w:val="24"/>
                <w:lang w:eastAsia="ja-JP"/>
              </w:rPr>
            </w:pPr>
          </w:p>
        </w:tc>
      </w:tr>
      <w:tr w:rsidR="007B51F0" w14:paraId="44F6BA7D" w14:textId="77777777" w:rsidTr="000A2E32">
        <w:trPr>
          <w:gridAfter w:val="1"/>
          <w:wAfter w:w="7" w:type="dxa"/>
          <w:cantSplit/>
        </w:trPr>
        <w:tc>
          <w:tcPr>
            <w:tcW w:w="9409" w:type="dxa"/>
            <w:gridSpan w:val="4"/>
          </w:tcPr>
          <w:p w14:paraId="436997F0" w14:textId="77777777" w:rsidR="007B51F0" w:rsidRDefault="007B51F0">
            <w:pPr>
              <w:jc w:val="center"/>
              <w:rPr>
                <w:rFonts w:ascii="Arial" w:hAnsi="Arial" w:cs="Arial"/>
                <w:smallCaps/>
                <w:sz w:val="24"/>
                <w:szCs w:val="24"/>
                <w:lang w:eastAsia="ja-JP"/>
              </w:rPr>
            </w:pPr>
          </w:p>
        </w:tc>
      </w:tr>
      <w:tr w:rsidR="007B51F0" w14:paraId="11F762BE" w14:textId="77777777" w:rsidTr="000A2E32">
        <w:trPr>
          <w:gridAfter w:val="1"/>
          <w:wAfter w:w="7" w:type="dxa"/>
          <w:cantSplit/>
        </w:trPr>
        <w:tc>
          <w:tcPr>
            <w:tcW w:w="1526" w:type="dxa"/>
          </w:tcPr>
          <w:p w14:paraId="485D2141" w14:textId="77777777" w:rsidR="007B51F0" w:rsidRDefault="007B51F0">
            <w:pPr>
              <w:rPr>
                <w:rFonts w:ascii="Arial" w:hAnsi="Arial" w:cs="Arial"/>
                <w:sz w:val="24"/>
                <w:szCs w:val="24"/>
                <w:lang w:eastAsia="ja-JP"/>
              </w:rPr>
            </w:pPr>
          </w:p>
        </w:tc>
        <w:tc>
          <w:tcPr>
            <w:tcW w:w="6005" w:type="dxa"/>
            <w:gridSpan w:val="2"/>
            <w:tcBorders>
              <w:top w:val="single" w:sz="4" w:space="0" w:color="auto"/>
              <w:left w:val="nil"/>
              <w:bottom w:val="single" w:sz="4" w:space="0" w:color="auto"/>
              <w:right w:val="nil"/>
            </w:tcBorders>
          </w:tcPr>
          <w:p w14:paraId="37D19E45" w14:textId="77777777" w:rsidR="007B51F0" w:rsidRDefault="007B51F0">
            <w:pPr>
              <w:jc w:val="center"/>
              <w:rPr>
                <w:rFonts w:ascii="Arial" w:hAnsi="Arial" w:cs="Arial"/>
                <w:sz w:val="24"/>
                <w:szCs w:val="24"/>
                <w:lang w:eastAsia="ja-JP"/>
              </w:rPr>
            </w:pPr>
          </w:p>
          <w:p w14:paraId="7FB186DE" w14:textId="776B3255" w:rsidR="007B51F0" w:rsidRDefault="0018773D">
            <w:pPr>
              <w:jc w:val="center"/>
              <w:rPr>
                <w:rFonts w:ascii="Arial" w:hAnsi="Arial" w:cs="Arial"/>
                <w:sz w:val="24"/>
                <w:szCs w:val="24"/>
              </w:rPr>
            </w:pPr>
            <w:r>
              <w:rPr>
                <w:rFonts w:ascii="Arial" w:hAnsi="Arial" w:cs="Arial"/>
                <w:sz w:val="24"/>
                <w:szCs w:val="24"/>
              </w:rPr>
              <w:t xml:space="preserve">APPELLANT’S </w:t>
            </w:r>
            <w:r w:rsidR="007B51F0">
              <w:rPr>
                <w:rFonts w:ascii="Arial" w:hAnsi="Arial" w:cs="Arial"/>
                <w:sz w:val="24"/>
                <w:szCs w:val="24"/>
              </w:rPr>
              <w:t xml:space="preserve">SUBMISSIONS FOR THE HEARING </w:t>
            </w:r>
          </w:p>
          <w:p w14:paraId="588FEFA1" w14:textId="77777777" w:rsidR="007B51F0" w:rsidRDefault="007B51F0">
            <w:pPr>
              <w:jc w:val="center"/>
              <w:rPr>
                <w:rFonts w:ascii="Arial" w:hAnsi="Arial" w:cs="Arial"/>
                <w:sz w:val="24"/>
                <w:szCs w:val="24"/>
                <w:lang w:eastAsia="ja-JP"/>
              </w:rPr>
            </w:pPr>
          </w:p>
        </w:tc>
        <w:tc>
          <w:tcPr>
            <w:tcW w:w="1878" w:type="dxa"/>
          </w:tcPr>
          <w:p w14:paraId="24E8CC6E" w14:textId="77777777" w:rsidR="007B51F0" w:rsidRDefault="007B51F0">
            <w:pPr>
              <w:rPr>
                <w:rFonts w:ascii="Arial" w:hAnsi="Arial" w:cs="Arial"/>
                <w:sz w:val="24"/>
                <w:szCs w:val="24"/>
                <w:lang w:eastAsia="ja-JP"/>
              </w:rPr>
            </w:pPr>
          </w:p>
        </w:tc>
      </w:tr>
    </w:tbl>
    <w:p w14:paraId="5A93D123" w14:textId="77777777" w:rsidR="007B51F0" w:rsidRDefault="007B51F0" w:rsidP="007B51F0"/>
    <w:p w14:paraId="73CB1BCE" w14:textId="1E4B033F" w:rsidR="007B51F0" w:rsidRDefault="007B51F0" w:rsidP="007B51F0"/>
    <w:p w14:paraId="3959039A" w14:textId="77777777" w:rsidR="00B26A7B" w:rsidRDefault="00B26A7B" w:rsidP="00B26A7B">
      <w:pPr>
        <w:ind w:left="720" w:right="555"/>
        <w:rPr>
          <w:rFonts w:ascii="Arial" w:hAnsi="Arial" w:cs="Arial"/>
          <w:sz w:val="24"/>
        </w:rPr>
      </w:pPr>
    </w:p>
    <w:p w14:paraId="711F47DE" w14:textId="26B74722" w:rsidR="00B26A7B" w:rsidRDefault="006F288A" w:rsidP="00C70663">
      <w:pPr>
        <w:numPr>
          <w:ilvl w:val="0"/>
          <w:numId w:val="3"/>
        </w:numPr>
        <w:ind w:right="555"/>
        <w:rPr>
          <w:rFonts w:ascii="Arial" w:hAnsi="Arial" w:cs="Arial"/>
          <w:sz w:val="24"/>
        </w:rPr>
      </w:pPr>
      <w:r>
        <w:rPr>
          <w:rFonts w:ascii="Arial" w:hAnsi="Arial" w:cs="Arial"/>
          <w:sz w:val="24"/>
        </w:rPr>
        <w:t xml:space="preserve">I have received the Respondent’s “Supplementary Submission </w:t>
      </w:r>
      <w:r w:rsidR="00492AC8">
        <w:rPr>
          <w:rFonts w:ascii="Arial" w:hAnsi="Arial" w:cs="Arial"/>
          <w:sz w:val="24"/>
        </w:rPr>
        <w:t>“that</w:t>
      </w:r>
      <w:r>
        <w:rPr>
          <w:rFonts w:ascii="Arial" w:hAnsi="Arial" w:cs="Arial"/>
          <w:sz w:val="24"/>
        </w:rPr>
        <w:t xml:space="preserve"> she furnished to comply with the Directions issued by Judge on 03/02/2021.</w:t>
      </w:r>
    </w:p>
    <w:p w14:paraId="73B1D2DA" w14:textId="77777777" w:rsidR="00B26A7B" w:rsidRDefault="00B26A7B" w:rsidP="00B26A7B">
      <w:pPr>
        <w:pStyle w:val="ListParagraph"/>
        <w:rPr>
          <w:rFonts w:ascii="Arial" w:hAnsi="Arial" w:cs="Arial"/>
          <w:sz w:val="24"/>
        </w:rPr>
      </w:pPr>
    </w:p>
    <w:p w14:paraId="52C65B1B" w14:textId="6DC43936" w:rsidR="00B26A7B" w:rsidRPr="006F288A" w:rsidRDefault="00B26A7B" w:rsidP="00B563FF">
      <w:pPr>
        <w:numPr>
          <w:ilvl w:val="0"/>
          <w:numId w:val="3"/>
        </w:numPr>
        <w:ind w:right="555"/>
        <w:rPr>
          <w:rFonts w:ascii="Arial" w:hAnsi="Arial" w:cs="Arial"/>
          <w:sz w:val="24"/>
        </w:rPr>
      </w:pPr>
      <w:r w:rsidRPr="006F288A">
        <w:rPr>
          <w:rFonts w:ascii="Arial" w:hAnsi="Arial" w:cs="Arial"/>
          <w:sz w:val="24"/>
        </w:rPr>
        <w:t xml:space="preserve">I </w:t>
      </w:r>
      <w:r w:rsidR="006F288A">
        <w:rPr>
          <w:rFonts w:ascii="Arial" w:hAnsi="Arial" w:cs="Arial"/>
          <w:sz w:val="24"/>
        </w:rPr>
        <w:t xml:space="preserve">note that the Respondent concedes that the date of Ms </w:t>
      </w:r>
      <w:r w:rsidR="00D66E9C">
        <w:rPr>
          <w:rFonts w:ascii="Arial" w:hAnsi="Arial" w:cs="Arial"/>
          <w:sz w:val="24"/>
        </w:rPr>
        <w:t>X</w:t>
      </w:r>
      <w:r w:rsidR="006F288A">
        <w:rPr>
          <w:rFonts w:ascii="Arial" w:hAnsi="Arial" w:cs="Arial"/>
          <w:sz w:val="24"/>
        </w:rPr>
        <w:t>’s award of (contribution based) Employment and Support Allowance (ESA) must be considered when the start of the qualifying period is determined, and I also note the Respondent’s reference back to paragraph 5 of her initial Response.</w:t>
      </w:r>
    </w:p>
    <w:p w14:paraId="61F9AA31" w14:textId="0221B690" w:rsidR="00B26A7B" w:rsidRDefault="00B26A7B" w:rsidP="00360A91">
      <w:pPr>
        <w:pStyle w:val="ListParagraph"/>
        <w:ind w:left="1069"/>
        <w:rPr>
          <w:rFonts w:ascii="Arial" w:hAnsi="Arial" w:cs="Arial"/>
          <w:sz w:val="24"/>
        </w:rPr>
      </w:pPr>
    </w:p>
    <w:p w14:paraId="3E008F6E" w14:textId="04E5CB4A" w:rsidR="00E4722E" w:rsidRDefault="00360A91" w:rsidP="00C77085">
      <w:pPr>
        <w:numPr>
          <w:ilvl w:val="0"/>
          <w:numId w:val="3"/>
        </w:numPr>
        <w:ind w:right="555"/>
        <w:rPr>
          <w:rFonts w:ascii="Arial" w:hAnsi="Arial" w:cs="Arial"/>
          <w:sz w:val="24"/>
        </w:rPr>
      </w:pPr>
      <w:r>
        <w:rPr>
          <w:rFonts w:ascii="Arial" w:hAnsi="Arial" w:cs="Arial"/>
          <w:sz w:val="24"/>
        </w:rPr>
        <w:t xml:space="preserve">I </w:t>
      </w:r>
      <w:r w:rsidR="006F288A">
        <w:rPr>
          <w:rFonts w:ascii="Arial" w:hAnsi="Arial" w:cs="Arial"/>
          <w:sz w:val="24"/>
        </w:rPr>
        <w:t>find paragraph 5</w:t>
      </w:r>
      <w:r w:rsidR="005607AB">
        <w:rPr>
          <w:rFonts w:ascii="Arial" w:hAnsi="Arial" w:cs="Arial"/>
          <w:sz w:val="24"/>
        </w:rPr>
        <w:t xml:space="preserve"> of the </w:t>
      </w:r>
      <w:r w:rsidR="00973087">
        <w:rPr>
          <w:rFonts w:ascii="Arial" w:hAnsi="Arial" w:cs="Arial"/>
          <w:sz w:val="24"/>
        </w:rPr>
        <w:t>Response to</w:t>
      </w:r>
      <w:r w:rsidR="006F288A">
        <w:rPr>
          <w:rFonts w:ascii="Arial" w:hAnsi="Arial" w:cs="Arial"/>
          <w:sz w:val="24"/>
        </w:rPr>
        <w:t xml:space="preserve"> </w:t>
      </w:r>
      <w:r w:rsidR="00C0749D">
        <w:rPr>
          <w:rFonts w:ascii="Arial" w:hAnsi="Arial" w:cs="Arial"/>
          <w:sz w:val="24"/>
        </w:rPr>
        <w:t>be both</w:t>
      </w:r>
      <w:r w:rsidR="006F288A">
        <w:rPr>
          <w:rFonts w:ascii="Arial" w:hAnsi="Arial" w:cs="Arial"/>
          <w:sz w:val="24"/>
        </w:rPr>
        <w:t xml:space="preserve"> confused and </w:t>
      </w:r>
      <w:r w:rsidR="002542DF">
        <w:rPr>
          <w:rFonts w:ascii="Arial" w:hAnsi="Arial" w:cs="Arial"/>
          <w:sz w:val="24"/>
        </w:rPr>
        <w:t xml:space="preserve">confusing, </w:t>
      </w:r>
      <w:r w:rsidR="00C83FE9">
        <w:rPr>
          <w:rFonts w:ascii="Arial" w:hAnsi="Arial" w:cs="Arial"/>
          <w:sz w:val="24"/>
        </w:rPr>
        <w:t>but it</w:t>
      </w:r>
      <w:r w:rsidR="006F288A">
        <w:rPr>
          <w:rFonts w:ascii="Arial" w:hAnsi="Arial" w:cs="Arial"/>
          <w:sz w:val="24"/>
        </w:rPr>
        <w:t xml:space="preserve"> is evidence that the Respondent has either not considered the implications of </w:t>
      </w:r>
      <w:r w:rsidR="00E4722E">
        <w:rPr>
          <w:rFonts w:ascii="Arial" w:hAnsi="Arial" w:cs="Arial"/>
          <w:sz w:val="24"/>
        </w:rPr>
        <w:t xml:space="preserve">R </w:t>
      </w:r>
      <w:r w:rsidR="00973087">
        <w:rPr>
          <w:rFonts w:ascii="Arial" w:hAnsi="Arial" w:cs="Arial"/>
          <w:sz w:val="24"/>
        </w:rPr>
        <w:t>v</w:t>
      </w:r>
      <w:r w:rsidR="00E4722E">
        <w:rPr>
          <w:rFonts w:ascii="Arial" w:hAnsi="Arial" w:cs="Arial"/>
          <w:sz w:val="24"/>
        </w:rPr>
        <w:t xml:space="preserve"> Johnson and </w:t>
      </w:r>
      <w:proofErr w:type="spellStart"/>
      <w:r w:rsidR="00E4722E">
        <w:rPr>
          <w:rFonts w:ascii="Arial" w:hAnsi="Arial" w:cs="Arial"/>
          <w:sz w:val="24"/>
        </w:rPr>
        <w:t>ors</w:t>
      </w:r>
      <w:proofErr w:type="spellEnd"/>
      <w:r w:rsidR="00E4722E">
        <w:rPr>
          <w:rFonts w:ascii="Arial" w:hAnsi="Arial" w:cs="Arial"/>
          <w:sz w:val="24"/>
        </w:rPr>
        <w:t xml:space="preserve"> </w:t>
      </w:r>
      <w:r w:rsidR="00E4722E" w:rsidRPr="00E4722E">
        <w:rPr>
          <w:rFonts w:ascii="Arial" w:hAnsi="Arial" w:cs="Arial"/>
          <w:sz w:val="24"/>
        </w:rPr>
        <w:t xml:space="preserve">[2020] EWCA </w:t>
      </w:r>
      <w:proofErr w:type="spellStart"/>
      <w:r w:rsidR="00E4722E" w:rsidRPr="00E4722E">
        <w:rPr>
          <w:rFonts w:ascii="Arial" w:hAnsi="Arial" w:cs="Arial"/>
          <w:sz w:val="24"/>
        </w:rPr>
        <w:t>Civ</w:t>
      </w:r>
      <w:proofErr w:type="spellEnd"/>
      <w:r w:rsidR="00E4722E" w:rsidRPr="00E4722E">
        <w:rPr>
          <w:rFonts w:ascii="Arial" w:hAnsi="Arial" w:cs="Arial"/>
          <w:sz w:val="24"/>
        </w:rPr>
        <w:t xml:space="preserve"> 778</w:t>
      </w:r>
      <w:r w:rsidR="00E4722E">
        <w:rPr>
          <w:rFonts w:ascii="Arial" w:hAnsi="Arial" w:cs="Arial"/>
          <w:sz w:val="24"/>
        </w:rPr>
        <w:t xml:space="preserve">, or that she considers Johnson to be irrelevant to the present </w:t>
      </w:r>
      <w:proofErr w:type="gramStart"/>
      <w:r w:rsidR="00E4722E">
        <w:rPr>
          <w:rFonts w:ascii="Arial" w:hAnsi="Arial" w:cs="Arial"/>
          <w:sz w:val="24"/>
        </w:rPr>
        <w:t>case</w:t>
      </w:r>
      <w:proofErr w:type="gramEnd"/>
    </w:p>
    <w:p w14:paraId="368B4162" w14:textId="77777777" w:rsidR="00E4722E" w:rsidRDefault="00E4722E" w:rsidP="00E4722E">
      <w:pPr>
        <w:pStyle w:val="ListParagraph"/>
        <w:rPr>
          <w:rFonts w:ascii="Arial" w:hAnsi="Arial" w:cs="Arial"/>
          <w:sz w:val="24"/>
        </w:rPr>
      </w:pPr>
    </w:p>
    <w:p w14:paraId="3AB58D47" w14:textId="33987A21" w:rsidR="00B26A7B" w:rsidRDefault="00E4722E" w:rsidP="00C77085">
      <w:pPr>
        <w:numPr>
          <w:ilvl w:val="0"/>
          <w:numId w:val="3"/>
        </w:numPr>
        <w:ind w:right="555"/>
        <w:rPr>
          <w:rFonts w:ascii="Arial" w:hAnsi="Arial" w:cs="Arial"/>
          <w:sz w:val="24"/>
        </w:rPr>
      </w:pPr>
      <w:r>
        <w:rPr>
          <w:rFonts w:ascii="Arial" w:hAnsi="Arial" w:cs="Arial"/>
          <w:sz w:val="24"/>
        </w:rPr>
        <w:t xml:space="preserve">The Respondent avers </w:t>
      </w:r>
      <w:r w:rsidRPr="00E4722E">
        <w:rPr>
          <w:rFonts w:ascii="Arial" w:hAnsi="Arial" w:cs="Arial"/>
          <w:b/>
          <w:bCs/>
          <w:sz w:val="24"/>
        </w:rPr>
        <w:t>(S5(5.12) of the Response page F</w:t>
      </w:r>
      <w:r>
        <w:rPr>
          <w:rFonts w:ascii="Arial" w:hAnsi="Arial" w:cs="Arial"/>
          <w:sz w:val="24"/>
        </w:rPr>
        <w:t>).</w:t>
      </w:r>
    </w:p>
    <w:p w14:paraId="2C5A749D" w14:textId="77777777" w:rsidR="00E4722E" w:rsidRDefault="00E4722E" w:rsidP="00E4722E">
      <w:pPr>
        <w:pStyle w:val="ListParagraph"/>
        <w:rPr>
          <w:rFonts w:ascii="Arial" w:hAnsi="Arial" w:cs="Arial"/>
          <w:sz w:val="24"/>
        </w:rPr>
      </w:pPr>
    </w:p>
    <w:p w14:paraId="7B92086F" w14:textId="27A4A331" w:rsidR="00E4722E" w:rsidRDefault="00E4722E" w:rsidP="00E4722E">
      <w:pPr>
        <w:ind w:left="1985" w:right="555"/>
        <w:rPr>
          <w:rFonts w:ascii="Arial" w:hAnsi="Arial" w:cs="Arial"/>
          <w:sz w:val="24"/>
        </w:rPr>
      </w:pPr>
      <w:r>
        <w:rPr>
          <w:rFonts w:ascii="Arial" w:hAnsi="Arial" w:cs="Arial"/>
          <w:sz w:val="24"/>
        </w:rPr>
        <w:t xml:space="preserve">Whilst I accept that Ms </w:t>
      </w:r>
      <w:r w:rsidR="00D66E9C">
        <w:rPr>
          <w:rFonts w:ascii="Arial" w:hAnsi="Arial" w:cs="Arial"/>
          <w:sz w:val="24"/>
        </w:rPr>
        <w:t>X</w:t>
      </w:r>
      <w:r>
        <w:rPr>
          <w:rFonts w:ascii="Arial" w:hAnsi="Arial" w:cs="Arial"/>
          <w:sz w:val="24"/>
        </w:rPr>
        <w:t xml:space="preserve"> feels that she has not been treated fairly </w:t>
      </w:r>
      <w:bookmarkStart w:id="0" w:name="_Hlk66279774"/>
      <w:r>
        <w:rPr>
          <w:rFonts w:ascii="Arial" w:hAnsi="Arial" w:cs="Arial"/>
          <w:sz w:val="24"/>
        </w:rPr>
        <w:t>decision makers and tribunals are obliged to follow such law as laid down by Parliament</w:t>
      </w:r>
      <w:bookmarkEnd w:id="0"/>
      <w:r>
        <w:rPr>
          <w:rFonts w:ascii="Arial" w:hAnsi="Arial" w:cs="Arial"/>
          <w:sz w:val="24"/>
        </w:rPr>
        <w:t>.</w:t>
      </w:r>
    </w:p>
    <w:p w14:paraId="69B0AE3E" w14:textId="77777777" w:rsidR="00C0749D" w:rsidRDefault="00C0749D" w:rsidP="00E4722E">
      <w:pPr>
        <w:ind w:left="1985" w:right="555"/>
        <w:rPr>
          <w:rFonts w:ascii="Arial" w:hAnsi="Arial" w:cs="Arial"/>
          <w:sz w:val="24"/>
        </w:rPr>
      </w:pPr>
    </w:p>
    <w:p w14:paraId="11F9B4C4" w14:textId="562BE300" w:rsidR="00E4722E" w:rsidRDefault="00C0749D" w:rsidP="00C0749D">
      <w:pPr>
        <w:pStyle w:val="ListParagraph"/>
        <w:numPr>
          <w:ilvl w:val="1"/>
          <w:numId w:val="3"/>
        </w:numPr>
        <w:rPr>
          <w:rFonts w:ascii="Arial" w:hAnsi="Arial" w:cs="Arial"/>
          <w:sz w:val="24"/>
        </w:rPr>
      </w:pPr>
      <w:r>
        <w:rPr>
          <w:rFonts w:ascii="Arial" w:hAnsi="Arial" w:cs="Arial"/>
          <w:sz w:val="24"/>
        </w:rPr>
        <w:t xml:space="preserve">I accept that decision makers and Tribunals cannot disapply primary </w:t>
      </w:r>
      <w:r w:rsidR="00973087">
        <w:rPr>
          <w:rFonts w:ascii="Arial" w:hAnsi="Arial" w:cs="Arial"/>
          <w:sz w:val="24"/>
        </w:rPr>
        <w:t>legislation,</w:t>
      </w:r>
      <w:r>
        <w:rPr>
          <w:rFonts w:ascii="Arial" w:hAnsi="Arial" w:cs="Arial"/>
          <w:sz w:val="24"/>
        </w:rPr>
        <w:t xml:space="preserve"> but I am reminded that the Supreme Court held in </w:t>
      </w:r>
      <w:r w:rsidRPr="00C0749D">
        <w:rPr>
          <w:rFonts w:ascii="Arial" w:hAnsi="Arial" w:cs="Arial"/>
          <w:sz w:val="24"/>
        </w:rPr>
        <w:t>RR (Appellant) v Secretary of State for Work and Pensions (Respondent)</w:t>
      </w:r>
      <w:r>
        <w:rPr>
          <w:rFonts w:ascii="Arial" w:hAnsi="Arial" w:cs="Arial"/>
          <w:sz w:val="24"/>
        </w:rPr>
        <w:t xml:space="preserve"> </w:t>
      </w:r>
      <w:r w:rsidRPr="00C0749D">
        <w:rPr>
          <w:rFonts w:ascii="Arial" w:hAnsi="Arial" w:cs="Arial"/>
          <w:sz w:val="24"/>
        </w:rPr>
        <w:t>[2019] UKSC 52</w:t>
      </w:r>
      <w:r>
        <w:rPr>
          <w:rFonts w:ascii="Arial" w:hAnsi="Arial" w:cs="Arial"/>
          <w:sz w:val="24"/>
        </w:rPr>
        <w:t xml:space="preserve"> held at [27]-[30]</w:t>
      </w:r>
    </w:p>
    <w:p w14:paraId="5E41D614" w14:textId="1EBEAEB6" w:rsidR="00A15D30" w:rsidRDefault="00A15D30" w:rsidP="00A15D30">
      <w:pPr>
        <w:pStyle w:val="ListParagraph"/>
        <w:ind w:left="1069"/>
        <w:rPr>
          <w:rFonts w:ascii="Arial" w:hAnsi="Arial" w:cs="Arial"/>
          <w:sz w:val="24"/>
        </w:rPr>
      </w:pPr>
    </w:p>
    <w:p w14:paraId="14412FBF" w14:textId="23D16BA2" w:rsidR="00A15D30" w:rsidRDefault="00A15D30" w:rsidP="00A15D30">
      <w:pPr>
        <w:pStyle w:val="ListParagraph"/>
        <w:ind w:left="1069"/>
        <w:rPr>
          <w:rFonts w:ascii="Arial" w:hAnsi="Arial" w:cs="Arial"/>
          <w:sz w:val="24"/>
        </w:rPr>
      </w:pPr>
    </w:p>
    <w:p w14:paraId="711FDFDD" w14:textId="77777777" w:rsidR="00A15D30" w:rsidRPr="00A15D30" w:rsidRDefault="00A15D30" w:rsidP="00A15D30">
      <w:pPr>
        <w:pStyle w:val="ListParagraph"/>
        <w:ind w:left="2694"/>
        <w:rPr>
          <w:rFonts w:ascii="Arial" w:hAnsi="Arial" w:cs="Arial"/>
          <w:sz w:val="24"/>
        </w:rPr>
      </w:pPr>
      <w:r w:rsidRPr="00A15D30">
        <w:rPr>
          <w:rFonts w:ascii="Arial" w:hAnsi="Arial" w:cs="Arial"/>
          <w:i/>
          <w:iCs/>
          <w:sz w:val="24"/>
        </w:rPr>
        <w:t xml:space="preserve">Conclusions on the principal issue </w:t>
      </w:r>
    </w:p>
    <w:p w14:paraId="6EDC2528" w14:textId="4637DA6A" w:rsidR="00A15D30" w:rsidRDefault="00A15D30" w:rsidP="00A15D30">
      <w:pPr>
        <w:pStyle w:val="ListParagraph"/>
        <w:ind w:left="1843"/>
        <w:rPr>
          <w:rFonts w:ascii="Arial" w:hAnsi="Arial" w:cs="Arial"/>
          <w:sz w:val="24"/>
        </w:rPr>
      </w:pPr>
      <w:r w:rsidRPr="00A15D30">
        <w:rPr>
          <w:rFonts w:ascii="Arial" w:hAnsi="Arial" w:cs="Arial"/>
          <w:sz w:val="24"/>
        </w:rPr>
        <w:lastRenderedPageBreak/>
        <w:t xml:space="preserve">27. Although the majority of the Court of Appeal in </w:t>
      </w:r>
      <w:r w:rsidRPr="00A15D30">
        <w:rPr>
          <w:rFonts w:ascii="Arial" w:hAnsi="Arial" w:cs="Arial"/>
          <w:i/>
          <w:iCs/>
          <w:sz w:val="24"/>
        </w:rPr>
        <w:t xml:space="preserve">Carmichael (CA) </w:t>
      </w:r>
      <w:r w:rsidRPr="00A15D30">
        <w:rPr>
          <w:rFonts w:ascii="Arial" w:hAnsi="Arial" w:cs="Arial"/>
          <w:sz w:val="24"/>
        </w:rPr>
        <w:t xml:space="preserve">accepted the arguments of the Secretary of State, in my view Leggatt LJ was entirely right to accept the arguments of the appellant. There is nothing unconstitutional about a public authority, </w:t>
      </w:r>
      <w:proofErr w:type="gramStart"/>
      <w:r w:rsidRPr="00A15D30">
        <w:rPr>
          <w:rFonts w:ascii="Arial" w:hAnsi="Arial" w:cs="Arial"/>
          <w:sz w:val="24"/>
        </w:rPr>
        <w:t>court</w:t>
      </w:r>
      <w:proofErr w:type="gramEnd"/>
      <w:r w:rsidRPr="00A15D30">
        <w:rPr>
          <w:rFonts w:ascii="Arial" w:hAnsi="Arial" w:cs="Arial"/>
          <w:sz w:val="24"/>
        </w:rPr>
        <w:t xml:space="preserve"> or tribunal disapplying a provision of subordinate legislation which would otherwise result in their acting incompatibly with a Convention right, where this is necessary in order to comply with the HRA. Subordinate legislation is subordinate to the requirements of an Act of Parliament. The HRA is an Act of Parliament and its requirements are clear. </w:t>
      </w:r>
    </w:p>
    <w:p w14:paraId="67C2F90F" w14:textId="77777777" w:rsidR="00A15D30" w:rsidRPr="00A15D30" w:rsidRDefault="00A15D30" w:rsidP="00A15D30">
      <w:pPr>
        <w:pStyle w:val="ListParagraph"/>
        <w:ind w:left="1843"/>
        <w:rPr>
          <w:rFonts w:ascii="Arial" w:hAnsi="Arial" w:cs="Arial"/>
          <w:sz w:val="24"/>
        </w:rPr>
      </w:pPr>
    </w:p>
    <w:p w14:paraId="1248C4DA" w14:textId="47D70220" w:rsidR="00A15D30" w:rsidRDefault="00A15D30" w:rsidP="00A15D30">
      <w:pPr>
        <w:pStyle w:val="ListParagraph"/>
        <w:ind w:left="1843"/>
        <w:rPr>
          <w:rFonts w:ascii="Arial" w:hAnsi="Arial" w:cs="Arial"/>
          <w:sz w:val="24"/>
        </w:rPr>
      </w:pPr>
      <w:r w:rsidRPr="00A15D30">
        <w:rPr>
          <w:rFonts w:ascii="Arial" w:hAnsi="Arial" w:cs="Arial"/>
          <w:sz w:val="24"/>
        </w:rPr>
        <w:t xml:space="preserve">28. The HRA draws a clear and careful distinction between primary and subordinate legislation. This is shown, not only by the provisions of section 6(1) and 6(2) which have already been referred to, but also by the provisions of section 3(2). This provides that the interpretative obligation in section 3(1): </w:t>
      </w:r>
    </w:p>
    <w:p w14:paraId="1E795906" w14:textId="77777777" w:rsidR="00A15D30" w:rsidRPr="00A15D30" w:rsidRDefault="00A15D30" w:rsidP="00A15D30">
      <w:pPr>
        <w:pStyle w:val="ListParagraph"/>
        <w:ind w:left="1843"/>
        <w:rPr>
          <w:rFonts w:ascii="Arial" w:hAnsi="Arial" w:cs="Arial"/>
          <w:sz w:val="24"/>
        </w:rPr>
      </w:pPr>
    </w:p>
    <w:p w14:paraId="0CB493E0" w14:textId="68931F7C" w:rsidR="00A15D30" w:rsidRDefault="00A15D30" w:rsidP="00A15D30">
      <w:pPr>
        <w:pStyle w:val="ListParagraph"/>
        <w:ind w:left="2694"/>
        <w:rPr>
          <w:rFonts w:ascii="Arial" w:hAnsi="Arial" w:cs="Arial"/>
          <w:sz w:val="24"/>
        </w:rPr>
      </w:pPr>
      <w:r w:rsidRPr="00A15D30">
        <w:rPr>
          <w:rFonts w:ascii="Arial" w:hAnsi="Arial" w:cs="Arial"/>
          <w:sz w:val="24"/>
        </w:rPr>
        <w:t xml:space="preserve">“(a) applies to primary and subordinate legislation whenever </w:t>
      </w:r>
      <w:proofErr w:type="gramStart"/>
      <w:r w:rsidRPr="00A15D30">
        <w:rPr>
          <w:rFonts w:ascii="Arial" w:hAnsi="Arial" w:cs="Arial"/>
          <w:sz w:val="24"/>
        </w:rPr>
        <w:t>enacted;</w:t>
      </w:r>
      <w:proofErr w:type="gramEnd"/>
      <w:r w:rsidRPr="00A15D30">
        <w:rPr>
          <w:rFonts w:ascii="Arial" w:hAnsi="Arial" w:cs="Arial"/>
          <w:sz w:val="24"/>
        </w:rPr>
        <w:t xml:space="preserve"> </w:t>
      </w:r>
    </w:p>
    <w:p w14:paraId="6F2BC61D" w14:textId="77777777" w:rsidR="00A15D30" w:rsidRPr="00A15D30" w:rsidRDefault="00A15D30" w:rsidP="00A15D30">
      <w:pPr>
        <w:pStyle w:val="ListParagraph"/>
        <w:ind w:left="2694"/>
        <w:rPr>
          <w:rFonts w:ascii="Arial" w:hAnsi="Arial" w:cs="Arial"/>
          <w:sz w:val="24"/>
        </w:rPr>
      </w:pPr>
    </w:p>
    <w:p w14:paraId="0699A017" w14:textId="7D5C4037" w:rsidR="00A15D30" w:rsidRDefault="00A15D30" w:rsidP="00A15D30">
      <w:pPr>
        <w:pStyle w:val="ListParagraph"/>
        <w:ind w:left="2694"/>
        <w:rPr>
          <w:rFonts w:ascii="Arial" w:hAnsi="Arial" w:cs="Arial"/>
          <w:sz w:val="24"/>
        </w:rPr>
      </w:pPr>
      <w:r w:rsidRPr="00A15D30">
        <w:rPr>
          <w:rFonts w:ascii="Arial" w:hAnsi="Arial" w:cs="Arial"/>
          <w:sz w:val="24"/>
        </w:rPr>
        <w:t xml:space="preserve">(b) does not affect the validity, continuing </w:t>
      </w:r>
      <w:proofErr w:type="gramStart"/>
      <w:r w:rsidRPr="00A15D30">
        <w:rPr>
          <w:rFonts w:ascii="Arial" w:hAnsi="Arial" w:cs="Arial"/>
          <w:sz w:val="24"/>
        </w:rPr>
        <w:t>operation</w:t>
      </w:r>
      <w:proofErr w:type="gramEnd"/>
      <w:r w:rsidRPr="00A15D30">
        <w:rPr>
          <w:rFonts w:ascii="Arial" w:hAnsi="Arial" w:cs="Arial"/>
          <w:sz w:val="24"/>
        </w:rPr>
        <w:t xml:space="preserve"> or enforcement of any incompatible primary legislation; and </w:t>
      </w:r>
    </w:p>
    <w:p w14:paraId="57187D95" w14:textId="77777777" w:rsidR="00A15D30" w:rsidRPr="00A15D30" w:rsidRDefault="00A15D30" w:rsidP="00A15D30">
      <w:pPr>
        <w:pStyle w:val="ListParagraph"/>
        <w:ind w:left="2694"/>
        <w:rPr>
          <w:rFonts w:ascii="Arial" w:hAnsi="Arial" w:cs="Arial"/>
          <w:sz w:val="24"/>
        </w:rPr>
      </w:pPr>
    </w:p>
    <w:p w14:paraId="4E9F502C" w14:textId="3058F507" w:rsidR="00A15D30" w:rsidRDefault="00A15D30" w:rsidP="00A15D30">
      <w:pPr>
        <w:pStyle w:val="ListParagraph"/>
        <w:ind w:left="2694"/>
        <w:rPr>
          <w:rFonts w:ascii="Arial" w:hAnsi="Arial" w:cs="Arial"/>
          <w:sz w:val="24"/>
        </w:rPr>
      </w:pPr>
      <w:r w:rsidRPr="00A15D30">
        <w:rPr>
          <w:rFonts w:ascii="Arial" w:hAnsi="Arial" w:cs="Arial"/>
          <w:sz w:val="24"/>
        </w:rPr>
        <w:t xml:space="preserve">(c) does not affect the validity, continuing operation or enforcement of any incompatible subordinate legislation if (disregarding any possibility of revocation) primary legislation prevents the removal of the incompatibility.” </w:t>
      </w:r>
    </w:p>
    <w:p w14:paraId="5FBCC9B5" w14:textId="77777777" w:rsidR="00A15D30" w:rsidRPr="00A15D30" w:rsidRDefault="00A15D30" w:rsidP="00A15D30">
      <w:pPr>
        <w:pStyle w:val="ListParagraph"/>
        <w:ind w:left="1843"/>
        <w:rPr>
          <w:rFonts w:ascii="Arial" w:hAnsi="Arial" w:cs="Arial"/>
          <w:sz w:val="24"/>
        </w:rPr>
      </w:pPr>
    </w:p>
    <w:p w14:paraId="50D37C34" w14:textId="4A8916C5" w:rsidR="00A15D30" w:rsidRDefault="00A15D30" w:rsidP="00A15D30">
      <w:pPr>
        <w:pStyle w:val="ListParagraph"/>
        <w:ind w:left="1843"/>
        <w:rPr>
          <w:rFonts w:ascii="Arial" w:hAnsi="Arial" w:cs="Arial"/>
          <w:sz w:val="24"/>
        </w:rPr>
      </w:pPr>
      <w:r w:rsidRPr="00A15D30">
        <w:rPr>
          <w:rFonts w:ascii="Arial" w:hAnsi="Arial" w:cs="Arial"/>
          <w:sz w:val="24"/>
        </w:rPr>
        <w:t xml:space="preserve">Once again, a clear distinction is drawn between primary and subordinate legislation. </w:t>
      </w:r>
    </w:p>
    <w:p w14:paraId="083B5D56" w14:textId="77777777" w:rsidR="00A15D30" w:rsidRPr="00A15D30" w:rsidRDefault="00A15D30" w:rsidP="00A15D30">
      <w:pPr>
        <w:pStyle w:val="ListParagraph"/>
        <w:ind w:left="1843"/>
        <w:rPr>
          <w:rFonts w:ascii="Arial" w:hAnsi="Arial" w:cs="Arial"/>
          <w:sz w:val="24"/>
        </w:rPr>
      </w:pPr>
    </w:p>
    <w:p w14:paraId="5C50B706" w14:textId="68785095" w:rsidR="00A15D30" w:rsidRDefault="00A15D30" w:rsidP="00A15D30">
      <w:pPr>
        <w:pStyle w:val="ListParagraph"/>
        <w:ind w:left="1843"/>
        <w:rPr>
          <w:rFonts w:ascii="Arial" w:hAnsi="Arial" w:cs="Arial"/>
          <w:sz w:val="24"/>
        </w:rPr>
      </w:pPr>
      <w:r w:rsidRPr="00A15D30">
        <w:rPr>
          <w:rFonts w:ascii="Arial" w:hAnsi="Arial" w:cs="Arial"/>
          <w:sz w:val="24"/>
        </w:rPr>
        <w:t xml:space="preserve">29. The obligation in section 6(1), not to act in a way which is incompatible with a Convention right, is subject to the exception in section 6(2). But this only applies to acts which are required by primary legislation. If it had been intended to disapply the obligation in section 6(1) to acts which are required by subordinate legislation, the HRA would have said so. Again, under section 3(2), primary legislation which cannot be read or given effect compatibly with the Convention rights must still be given effect, as must subordinate legislation if primary legislation prevents removal of the incompatibility. If it had been intended that the section would not affect the validity, continuing </w:t>
      </w:r>
      <w:proofErr w:type="gramStart"/>
      <w:r w:rsidRPr="00A15D30">
        <w:rPr>
          <w:rFonts w:ascii="Arial" w:hAnsi="Arial" w:cs="Arial"/>
          <w:sz w:val="24"/>
        </w:rPr>
        <w:t>operation</w:t>
      </w:r>
      <w:proofErr w:type="gramEnd"/>
      <w:r w:rsidRPr="00A15D30">
        <w:rPr>
          <w:rFonts w:ascii="Arial" w:hAnsi="Arial" w:cs="Arial"/>
          <w:sz w:val="24"/>
        </w:rPr>
        <w:t xml:space="preserve"> or enforcement of incurably incompatible subordinate legislation, where there was no primary legislation preventing removal of the incompatibility, the HRA would have said so. </w:t>
      </w:r>
    </w:p>
    <w:p w14:paraId="6AB841A3" w14:textId="77777777" w:rsidR="00A15D30" w:rsidRPr="00A15D30" w:rsidRDefault="00A15D30" w:rsidP="00A15D30">
      <w:pPr>
        <w:pStyle w:val="ListParagraph"/>
        <w:ind w:left="1843"/>
        <w:rPr>
          <w:rFonts w:ascii="Arial" w:hAnsi="Arial" w:cs="Arial"/>
          <w:sz w:val="24"/>
        </w:rPr>
      </w:pPr>
    </w:p>
    <w:p w14:paraId="30FE1849" w14:textId="6799FA10" w:rsidR="00A15D30" w:rsidRPr="00A15D30" w:rsidRDefault="00A15D30" w:rsidP="00A15D30">
      <w:pPr>
        <w:pStyle w:val="ListParagraph"/>
        <w:ind w:left="1843"/>
        <w:rPr>
          <w:rFonts w:ascii="Arial" w:hAnsi="Arial" w:cs="Arial"/>
          <w:sz w:val="24"/>
        </w:rPr>
      </w:pPr>
      <w:r w:rsidRPr="00A15D30">
        <w:rPr>
          <w:rFonts w:ascii="Arial" w:hAnsi="Arial" w:cs="Arial"/>
          <w:sz w:val="24"/>
        </w:rPr>
        <w:t xml:space="preserve">30. Contrary to the Secretary of State’s argument, </w:t>
      </w:r>
      <w:r w:rsidRPr="00A15D30">
        <w:rPr>
          <w:rFonts w:ascii="Arial" w:hAnsi="Arial" w:cs="Arial"/>
          <w:i/>
          <w:iCs/>
          <w:sz w:val="24"/>
        </w:rPr>
        <w:t xml:space="preserve">Mathieson </w:t>
      </w:r>
      <w:r w:rsidRPr="00A15D30">
        <w:rPr>
          <w:rFonts w:ascii="Arial" w:hAnsi="Arial" w:cs="Arial"/>
          <w:sz w:val="24"/>
        </w:rPr>
        <w:t xml:space="preserve">was not a “one off”. As shown by the authorities listed in paras 21 to 23 above, the courts have consistently held that, where it is possible to do so, a provision of subordinate legislation which results in a </w:t>
      </w:r>
      <w:r w:rsidRPr="00A15D30">
        <w:rPr>
          <w:rFonts w:ascii="Arial" w:hAnsi="Arial" w:cs="Arial"/>
          <w:sz w:val="24"/>
        </w:rPr>
        <w:lastRenderedPageBreak/>
        <w:t xml:space="preserve">breach of a Convention right must be disregarded. There may be cases where it is not possible to do so, because it is not clear how the statutory scheme can be applied without the offending provision. But that was not the case in </w:t>
      </w:r>
      <w:r w:rsidRPr="00A15D30">
        <w:rPr>
          <w:rFonts w:ascii="Arial" w:hAnsi="Arial" w:cs="Arial"/>
          <w:i/>
          <w:iCs/>
          <w:sz w:val="24"/>
        </w:rPr>
        <w:t>Francis</w:t>
      </w:r>
      <w:r w:rsidRPr="00A15D30">
        <w:rPr>
          <w:rFonts w:ascii="Arial" w:hAnsi="Arial" w:cs="Arial"/>
          <w:sz w:val="24"/>
        </w:rPr>
        <w:t xml:space="preserve">, where the maternity grant could be paid to the holder of a residence order who qualified for it in all other respects; nor was it the case in </w:t>
      </w:r>
      <w:r w:rsidRPr="00A15D30">
        <w:rPr>
          <w:rFonts w:ascii="Arial" w:hAnsi="Arial" w:cs="Arial"/>
          <w:i/>
          <w:iCs/>
          <w:sz w:val="24"/>
        </w:rPr>
        <w:t>In re G</w:t>
      </w:r>
      <w:r w:rsidRPr="00A15D30">
        <w:rPr>
          <w:rFonts w:ascii="Arial" w:hAnsi="Arial" w:cs="Arial"/>
          <w:sz w:val="24"/>
        </w:rPr>
        <w:t xml:space="preserve">, where the unmarried couple could be allowed to apply to adopt (in reaching my Opinion, I satisfied myself that this would not cause problems elsewhere in the statutory scheme); nor was it the case in </w:t>
      </w:r>
      <w:proofErr w:type="spellStart"/>
      <w:r w:rsidRPr="00A15D30">
        <w:rPr>
          <w:rFonts w:ascii="Arial" w:hAnsi="Arial" w:cs="Arial"/>
          <w:i/>
          <w:iCs/>
          <w:sz w:val="24"/>
        </w:rPr>
        <w:t>Burnip</w:t>
      </w:r>
      <w:proofErr w:type="spellEnd"/>
      <w:r w:rsidRPr="00A15D30">
        <w:rPr>
          <w:rFonts w:ascii="Arial" w:hAnsi="Arial" w:cs="Arial"/>
          <w:i/>
          <w:iCs/>
          <w:sz w:val="24"/>
        </w:rPr>
        <w:t xml:space="preserve"> </w:t>
      </w:r>
      <w:r w:rsidRPr="00A15D30">
        <w:rPr>
          <w:rFonts w:ascii="Arial" w:hAnsi="Arial" w:cs="Arial"/>
          <w:sz w:val="24"/>
        </w:rPr>
        <w:t xml:space="preserve">and </w:t>
      </w:r>
      <w:proofErr w:type="spellStart"/>
      <w:r w:rsidRPr="00A15D30">
        <w:rPr>
          <w:rFonts w:ascii="Arial" w:hAnsi="Arial" w:cs="Arial"/>
          <w:i/>
          <w:iCs/>
          <w:sz w:val="24"/>
        </w:rPr>
        <w:t>Gorry</w:t>
      </w:r>
      <w:proofErr w:type="spellEnd"/>
      <w:r w:rsidRPr="00A15D30">
        <w:rPr>
          <w:rFonts w:ascii="Arial" w:hAnsi="Arial" w:cs="Arial"/>
          <w:sz w:val="24"/>
        </w:rPr>
        <w:t xml:space="preserve">, where housing benefit could simply be calculated without making the deduction for under-occupation; nor was it the case in </w:t>
      </w:r>
      <w:r w:rsidRPr="00A15D30">
        <w:rPr>
          <w:rFonts w:ascii="Arial" w:hAnsi="Arial" w:cs="Arial"/>
          <w:i/>
          <w:iCs/>
          <w:sz w:val="24"/>
        </w:rPr>
        <w:t>Mathieson</w:t>
      </w:r>
      <w:r w:rsidRPr="00A15D30">
        <w:rPr>
          <w:rFonts w:ascii="Arial" w:hAnsi="Arial" w:cs="Arial"/>
          <w:sz w:val="24"/>
        </w:rPr>
        <w:t xml:space="preserve">, where DLA could simply continue to be paid during the whole period of hospitalisation; nor was it the case in </w:t>
      </w:r>
      <w:r w:rsidRPr="00A15D30">
        <w:rPr>
          <w:rFonts w:ascii="Arial" w:hAnsi="Arial" w:cs="Arial"/>
          <w:i/>
          <w:iCs/>
          <w:sz w:val="24"/>
        </w:rPr>
        <w:t>JT</w:t>
      </w:r>
      <w:r w:rsidRPr="00A15D30">
        <w:rPr>
          <w:rFonts w:ascii="Arial" w:hAnsi="Arial" w:cs="Arial"/>
          <w:sz w:val="24"/>
        </w:rPr>
        <w:t xml:space="preserve">, where criminal injuries compensation could be paid without regard to the “same roof” rule; and nor is it the case here, where the situation is on all fours with </w:t>
      </w:r>
      <w:proofErr w:type="spellStart"/>
      <w:r w:rsidRPr="00A15D30">
        <w:rPr>
          <w:rFonts w:ascii="Arial" w:hAnsi="Arial" w:cs="Arial"/>
          <w:i/>
          <w:iCs/>
          <w:sz w:val="24"/>
        </w:rPr>
        <w:t>Burnip</w:t>
      </w:r>
      <w:proofErr w:type="spellEnd"/>
      <w:r w:rsidRPr="00A15D30">
        <w:rPr>
          <w:rFonts w:ascii="Arial" w:hAnsi="Arial" w:cs="Arial"/>
          <w:i/>
          <w:iCs/>
          <w:sz w:val="24"/>
        </w:rPr>
        <w:t xml:space="preserve"> </w:t>
      </w:r>
      <w:r w:rsidRPr="00A15D30">
        <w:rPr>
          <w:rFonts w:ascii="Arial" w:hAnsi="Arial" w:cs="Arial"/>
          <w:sz w:val="24"/>
        </w:rPr>
        <w:t xml:space="preserve">and </w:t>
      </w:r>
      <w:proofErr w:type="spellStart"/>
      <w:r w:rsidRPr="00A15D30">
        <w:rPr>
          <w:rFonts w:ascii="Arial" w:hAnsi="Arial" w:cs="Arial"/>
          <w:i/>
          <w:iCs/>
          <w:sz w:val="24"/>
        </w:rPr>
        <w:t>Gorry</w:t>
      </w:r>
      <w:proofErr w:type="spellEnd"/>
      <w:r w:rsidRPr="00A15D30">
        <w:rPr>
          <w:rFonts w:ascii="Arial" w:hAnsi="Arial" w:cs="Arial"/>
          <w:sz w:val="24"/>
        </w:rPr>
        <w:t xml:space="preserve">. There is </w:t>
      </w:r>
      <w:proofErr w:type="gramStart"/>
      <w:r w:rsidRPr="00A15D30">
        <w:rPr>
          <w:rFonts w:ascii="Arial" w:hAnsi="Arial" w:cs="Arial"/>
          <w:sz w:val="24"/>
        </w:rPr>
        <w:t xml:space="preserve">no </w:t>
      </w:r>
      <w:r>
        <w:rPr>
          <w:rFonts w:ascii="Arial" w:hAnsi="Arial" w:cs="Arial"/>
          <w:sz w:val="24"/>
        </w:rPr>
        <w:t xml:space="preserve"> l</w:t>
      </w:r>
      <w:r w:rsidRPr="00A15D30">
        <w:rPr>
          <w:rFonts w:ascii="Arial" w:hAnsi="Arial" w:cs="Arial"/>
          <w:sz w:val="24"/>
        </w:rPr>
        <w:t>egislative</w:t>
      </w:r>
      <w:proofErr w:type="gramEnd"/>
      <w:r w:rsidRPr="00A15D30">
        <w:rPr>
          <w:rFonts w:ascii="Arial" w:hAnsi="Arial" w:cs="Arial"/>
          <w:sz w:val="24"/>
        </w:rPr>
        <w:t xml:space="preserve"> choice to be exercised. As Dan Squires QC, for the Equality and Human Rights Commission, put it, where </w:t>
      </w:r>
      <w:r>
        <w:rPr>
          <w:rFonts w:ascii="Arial" w:hAnsi="Arial" w:cs="Arial"/>
          <w:sz w:val="24"/>
        </w:rPr>
        <w:t xml:space="preserve"> d</w:t>
      </w:r>
      <w:r w:rsidRPr="00A15D30">
        <w:rPr>
          <w:rFonts w:ascii="Arial" w:hAnsi="Arial" w:cs="Arial"/>
          <w:sz w:val="24"/>
        </w:rPr>
        <w:t xml:space="preserve">iscrimination has been found, a legislator may choose between levelling up and levelling down, but a decision-maker can only level up: if claimant A is entitled to housing benefit of £X and claimant B is only entitled to housing benefit of £X-Y, and the difference in treatment is unjustifiably discriminatory, the decision-maker must find that claimant B is also entitled to benefit of £X. </w:t>
      </w:r>
    </w:p>
    <w:p w14:paraId="4B081374" w14:textId="77777777" w:rsidR="00C0749D" w:rsidRDefault="00C0749D" w:rsidP="00C0749D">
      <w:pPr>
        <w:pStyle w:val="ListParagraph"/>
        <w:ind w:left="1985"/>
        <w:rPr>
          <w:rFonts w:ascii="Arial" w:hAnsi="Arial" w:cs="Arial"/>
          <w:sz w:val="24"/>
        </w:rPr>
      </w:pPr>
    </w:p>
    <w:p w14:paraId="35B675EB" w14:textId="33D6822D" w:rsidR="00A15D30" w:rsidRDefault="00A15D30" w:rsidP="00C0749D">
      <w:pPr>
        <w:pStyle w:val="ListParagraph"/>
        <w:numPr>
          <w:ilvl w:val="1"/>
          <w:numId w:val="3"/>
        </w:numPr>
        <w:rPr>
          <w:rFonts w:ascii="Arial" w:hAnsi="Arial" w:cs="Arial"/>
          <w:sz w:val="24"/>
        </w:rPr>
      </w:pPr>
      <w:r>
        <w:rPr>
          <w:rFonts w:ascii="Arial" w:hAnsi="Arial" w:cs="Arial"/>
          <w:sz w:val="24"/>
        </w:rPr>
        <w:t xml:space="preserve"> The Court of Appeal found in Johnson that in the circumstances of the case before it, the Universal Credit assessment periods provided by Regulation 54 were both irrational and discriminatory.</w:t>
      </w:r>
    </w:p>
    <w:p w14:paraId="474CCEF7" w14:textId="77777777" w:rsidR="00A15D30" w:rsidRDefault="00A15D30" w:rsidP="00A15D30">
      <w:pPr>
        <w:pStyle w:val="ListParagraph"/>
        <w:ind w:left="1069"/>
        <w:rPr>
          <w:rFonts w:ascii="Arial" w:hAnsi="Arial" w:cs="Arial"/>
          <w:sz w:val="24"/>
        </w:rPr>
      </w:pPr>
    </w:p>
    <w:p w14:paraId="6DC42FAB" w14:textId="2932E78A" w:rsidR="00C0749D" w:rsidRDefault="00A15D30" w:rsidP="00C0749D">
      <w:pPr>
        <w:pStyle w:val="ListParagraph"/>
        <w:numPr>
          <w:ilvl w:val="1"/>
          <w:numId w:val="3"/>
        </w:numPr>
        <w:rPr>
          <w:rFonts w:ascii="Arial" w:hAnsi="Arial" w:cs="Arial"/>
          <w:sz w:val="24"/>
        </w:rPr>
      </w:pPr>
      <w:r>
        <w:rPr>
          <w:rFonts w:ascii="Arial" w:hAnsi="Arial" w:cs="Arial"/>
          <w:sz w:val="24"/>
        </w:rPr>
        <w:t xml:space="preserve"> It follows that if Johnson stands, it is arguable that the Respondent’s assertion that </w:t>
      </w:r>
      <w:r w:rsidR="00E11FBF">
        <w:rPr>
          <w:rFonts w:ascii="Arial" w:hAnsi="Arial" w:cs="Arial"/>
          <w:sz w:val="24"/>
        </w:rPr>
        <w:t>“</w:t>
      </w:r>
      <w:r w:rsidRPr="00A15D30">
        <w:rPr>
          <w:rFonts w:ascii="Arial" w:hAnsi="Arial" w:cs="Arial"/>
          <w:i/>
          <w:iCs/>
          <w:sz w:val="24"/>
        </w:rPr>
        <w:t>decision makers and tribunals are obliged to follow such law as laid down by Parliament</w:t>
      </w:r>
      <w:r>
        <w:rPr>
          <w:rFonts w:ascii="Arial" w:hAnsi="Arial" w:cs="Arial"/>
          <w:i/>
          <w:iCs/>
          <w:sz w:val="24"/>
        </w:rPr>
        <w:t>”</w:t>
      </w:r>
      <w:r w:rsidR="00E11FBF">
        <w:rPr>
          <w:rFonts w:ascii="Arial" w:hAnsi="Arial" w:cs="Arial"/>
          <w:i/>
          <w:iCs/>
          <w:sz w:val="24"/>
        </w:rPr>
        <w:t xml:space="preserve"> </w:t>
      </w:r>
      <w:r w:rsidR="00E11FBF">
        <w:rPr>
          <w:rFonts w:ascii="Arial" w:hAnsi="Arial" w:cs="Arial"/>
          <w:sz w:val="24"/>
        </w:rPr>
        <w:t>may not necessarily be so.</w:t>
      </w:r>
    </w:p>
    <w:p w14:paraId="36EF6C00" w14:textId="77777777" w:rsidR="00E11FBF" w:rsidRPr="00E11FBF" w:rsidRDefault="00E11FBF" w:rsidP="00E11FBF">
      <w:pPr>
        <w:pStyle w:val="ListParagraph"/>
        <w:rPr>
          <w:rFonts w:ascii="Arial" w:hAnsi="Arial" w:cs="Arial"/>
          <w:sz w:val="24"/>
        </w:rPr>
      </w:pPr>
    </w:p>
    <w:p w14:paraId="017C208F" w14:textId="393F9A0E" w:rsidR="00E4722E" w:rsidRDefault="00E11FBF" w:rsidP="00C77085">
      <w:pPr>
        <w:numPr>
          <w:ilvl w:val="0"/>
          <w:numId w:val="3"/>
        </w:numPr>
        <w:ind w:right="555"/>
        <w:rPr>
          <w:rFonts w:ascii="Arial" w:hAnsi="Arial" w:cs="Arial"/>
          <w:sz w:val="24"/>
        </w:rPr>
      </w:pPr>
      <w:r>
        <w:rPr>
          <w:rFonts w:ascii="Arial" w:hAnsi="Arial" w:cs="Arial"/>
          <w:sz w:val="24"/>
        </w:rPr>
        <w:t xml:space="preserve">I intend to discuss Johnson further but only in so far as it pertains to Universal Credit (UC) payments in respect of service charges, and not in relation to any Loan for Mortgage Interest that Ms </w:t>
      </w:r>
      <w:r w:rsidR="00D66E9C">
        <w:rPr>
          <w:rFonts w:ascii="Arial" w:hAnsi="Arial" w:cs="Arial"/>
          <w:sz w:val="24"/>
        </w:rPr>
        <w:t>X</w:t>
      </w:r>
      <w:r>
        <w:rPr>
          <w:rFonts w:ascii="Arial" w:hAnsi="Arial" w:cs="Arial"/>
          <w:sz w:val="24"/>
        </w:rPr>
        <w:t xml:space="preserve"> may otherwise be entitled to.  I do so because the “qualifying period” provisions in the Loans for Mortgage Interest Regulations 2017 (the LMI Regs) do not mirror to the </w:t>
      </w:r>
      <w:r w:rsidR="00956E3A">
        <w:rPr>
          <w:rFonts w:ascii="Arial" w:hAnsi="Arial" w:cs="Arial"/>
          <w:sz w:val="24"/>
        </w:rPr>
        <w:t>equivalent provisions</w:t>
      </w:r>
      <w:r>
        <w:rPr>
          <w:rFonts w:ascii="Arial" w:hAnsi="Arial" w:cs="Arial"/>
          <w:sz w:val="24"/>
        </w:rPr>
        <w:t xml:space="preserve"> in Schedule 5 of the Universal Credit Regulations (the UC Regs).</w:t>
      </w:r>
    </w:p>
    <w:p w14:paraId="05B5F125" w14:textId="77777777" w:rsidR="00E11FBF" w:rsidRDefault="00E11FBF" w:rsidP="00E11FBF">
      <w:pPr>
        <w:ind w:left="720" w:right="555"/>
        <w:rPr>
          <w:rFonts w:ascii="Arial" w:hAnsi="Arial" w:cs="Arial"/>
          <w:sz w:val="24"/>
        </w:rPr>
      </w:pPr>
    </w:p>
    <w:p w14:paraId="4FBAEF3B" w14:textId="11A47AA5" w:rsidR="00E11FBF" w:rsidRDefault="00956E3A" w:rsidP="00C77085">
      <w:pPr>
        <w:numPr>
          <w:ilvl w:val="0"/>
          <w:numId w:val="3"/>
        </w:numPr>
        <w:ind w:right="555"/>
        <w:rPr>
          <w:rFonts w:ascii="Arial" w:hAnsi="Arial" w:cs="Arial"/>
          <w:sz w:val="24"/>
        </w:rPr>
      </w:pPr>
      <w:r>
        <w:rPr>
          <w:rFonts w:ascii="Arial" w:hAnsi="Arial" w:cs="Arial"/>
          <w:sz w:val="24"/>
        </w:rPr>
        <w:t xml:space="preserve">It is furthermore the case that with the coming into force of the LMI regs, paragraph 3 of </w:t>
      </w:r>
      <w:proofErr w:type="spellStart"/>
      <w:r>
        <w:rPr>
          <w:rFonts w:ascii="Arial" w:hAnsi="Arial" w:cs="Arial"/>
          <w:sz w:val="24"/>
        </w:rPr>
        <w:t>Sch</w:t>
      </w:r>
      <w:proofErr w:type="spellEnd"/>
      <w:r>
        <w:rPr>
          <w:rFonts w:ascii="Arial" w:hAnsi="Arial" w:cs="Arial"/>
          <w:sz w:val="24"/>
        </w:rPr>
        <w:t xml:space="preserve"> 5 of the UC Regs was amended.  Paragraph 3 now </w:t>
      </w:r>
      <w:proofErr w:type="gramStart"/>
      <w:r>
        <w:rPr>
          <w:rFonts w:ascii="Arial" w:hAnsi="Arial" w:cs="Arial"/>
          <w:sz w:val="24"/>
        </w:rPr>
        <w:t>provides :</w:t>
      </w:r>
      <w:proofErr w:type="gramEnd"/>
    </w:p>
    <w:p w14:paraId="57AB546B" w14:textId="77777777" w:rsidR="00C758E3" w:rsidRDefault="00C758E3" w:rsidP="00C758E3">
      <w:pPr>
        <w:pStyle w:val="ListParagraph"/>
        <w:rPr>
          <w:rFonts w:ascii="Arial" w:hAnsi="Arial" w:cs="Arial"/>
          <w:sz w:val="24"/>
        </w:rPr>
      </w:pPr>
    </w:p>
    <w:p w14:paraId="5E9A6758" w14:textId="7FA36E04" w:rsidR="00C758E3" w:rsidRDefault="00C758E3" w:rsidP="00C758E3">
      <w:pPr>
        <w:ind w:left="1985" w:right="555"/>
        <w:rPr>
          <w:rFonts w:ascii="Arial" w:hAnsi="Arial" w:cs="Arial"/>
          <w:sz w:val="24"/>
        </w:rPr>
      </w:pPr>
      <w:r w:rsidRPr="00C758E3">
        <w:rPr>
          <w:rFonts w:ascii="Arial" w:hAnsi="Arial" w:cs="Arial"/>
          <w:sz w:val="24"/>
        </w:rPr>
        <w:t>“</w:t>
      </w:r>
      <w:r w:rsidRPr="002C1C7E">
        <w:rPr>
          <w:rFonts w:ascii="Arial" w:hAnsi="Arial" w:cs="Arial"/>
          <w:b/>
          <w:bCs/>
          <w:sz w:val="24"/>
        </w:rPr>
        <w:t>Relevant payments” for purposes of this Schedule</w:t>
      </w:r>
    </w:p>
    <w:p w14:paraId="3BC09221" w14:textId="77777777" w:rsidR="00C758E3" w:rsidRPr="00C758E3" w:rsidRDefault="00C758E3" w:rsidP="00C758E3">
      <w:pPr>
        <w:ind w:left="1985" w:right="555"/>
        <w:rPr>
          <w:rFonts w:ascii="Arial" w:hAnsi="Arial" w:cs="Arial"/>
          <w:sz w:val="24"/>
        </w:rPr>
      </w:pPr>
    </w:p>
    <w:p w14:paraId="3242AFEA" w14:textId="21FD9566" w:rsidR="00C758E3" w:rsidRPr="00C758E3" w:rsidRDefault="00C758E3" w:rsidP="00C758E3">
      <w:pPr>
        <w:ind w:left="1985" w:right="555"/>
        <w:rPr>
          <w:rFonts w:ascii="Arial" w:hAnsi="Arial" w:cs="Arial"/>
          <w:sz w:val="24"/>
        </w:rPr>
      </w:pPr>
      <w:r>
        <w:rPr>
          <w:rFonts w:ascii="Arial" w:hAnsi="Arial" w:cs="Arial"/>
          <w:sz w:val="24"/>
        </w:rPr>
        <w:t>3</w:t>
      </w:r>
      <w:r w:rsidRPr="00C758E3">
        <w:rPr>
          <w:rFonts w:ascii="Arial" w:hAnsi="Arial" w:cs="Arial"/>
          <w:sz w:val="24"/>
        </w:rPr>
        <w:t xml:space="preserve"> (1) “Relevant payments” means one or more payments which are service charge</w:t>
      </w:r>
      <w:r>
        <w:rPr>
          <w:rFonts w:ascii="Arial" w:hAnsi="Arial" w:cs="Arial"/>
          <w:sz w:val="24"/>
        </w:rPr>
        <w:t xml:space="preserve"> </w:t>
      </w:r>
      <w:r w:rsidRPr="00C758E3">
        <w:rPr>
          <w:rFonts w:ascii="Arial" w:hAnsi="Arial" w:cs="Arial"/>
          <w:sz w:val="24"/>
        </w:rPr>
        <w:t>payments.]</w:t>
      </w:r>
    </w:p>
    <w:p w14:paraId="68C1012E" w14:textId="77777777" w:rsidR="00C758E3" w:rsidRDefault="00C758E3" w:rsidP="00C758E3">
      <w:pPr>
        <w:ind w:left="1985" w:right="555"/>
        <w:rPr>
          <w:rFonts w:ascii="Arial" w:hAnsi="Arial" w:cs="Arial"/>
          <w:sz w:val="24"/>
        </w:rPr>
      </w:pPr>
    </w:p>
    <w:p w14:paraId="5C725A43" w14:textId="564E54BF" w:rsidR="00C758E3" w:rsidRDefault="00C758E3" w:rsidP="00C758E3">
      <w:pPr>
        <w:ind w:left="1985" w:right="555"/>
        <w:rPr>
          <w:rFonts w:ascii="Arial" w:hAnsi="Arial" w:cs="Arial"/>
          <w:sz w:val="24"/>
        </w:rPr>
      </w:pPr>
      <w:r>
        <w:rPr>
          <w:rFonts w:ascii="Arial" w:hAnsi="Arial" w:cs="Arial"/>
          <w:sz w:val="24"/>
        </w:rPr>
        <w:lastRenderedPageBreak/>
        <w:t>(2)</w:t>
      </w:r>
    </w:p>
    <w:p w14:paraId="161618A7" w14:textId="77777777" w:rsidR="00C758E3" w:rsidRDefault="00C758E3" w:rsidP="00C758E3">
      <w:pPr>
        <w:ind w:left="1985" w:right="555"/>
        <w:rPr>
          <w:rFonts w:ascii="Arial" w:hAnsi="Arial" w:cs="Arial"/>
          <w:sz w:val="24"/>
        </w:rPr>
      </w:pPr>
    </w:p>
    <w:p w14:paraId="6E01D73E" w14:textId="04346952" w:rsidR="00C758E3" w:rsidRDefault="00C758E3" w:rsidP="00C758E3">
      <w:pPr>
        <w:ind w:left="1985" w:right="555"/>
        <w:rPr>
          <w:rFonts w:ascii="Arial" w:hAnsi="Arial" w:cs="Arial"/>
          <w:sz w:val="24"/>
        </w:rPr>
      </w:pPr>
      <w:r w:rsidRPr="00C758E3">
        <w:rPr>
          <w:rFonts w:ascii="Arial" w:hAnsi="Arial" w:cs="Arial"/>
          <w:sz w:val="24"/>
        </w:rPr>
        <w:t>(3) “Service charge payments” is to be understood in accordance with paragraphs 7 and 8 of</w:t>
      </w:r>
      <w:r>
        <w:rPr>
          <w:rFonts w:ascii="Arial" w:hAnsi="Arial" w:cs="Arial"/>
          <w:sz w:val="24"/>
        </w:rPr>
        <w:t xml:space="preserve"> </w:t>
      </w:r>
      <w:r w:rsidRPr="00C758E3">
        <w:rPr>
          <w:rFonts w:ascii="Arial" w:hAnsi="Arial" w:cs="Arial"/>
          <w:sz w:val="24"/>
        </w:rPr>
        <w:t>that Schedule.</w:t>
      </w:r>
    </w:p>
    <w:p w14:paraId="68760E32" w14:textId="77777777" w:rsidR="00956E3A" w:rsidRDefault="00956E3A" w:rsidP="00956E3A">
      <w:pPr>
        <w:pStyle w:val="ListParagraph"/>
        <w:rPr>
          <w:rFonts w:ascii="Arial" w:hAnsi="Arial" w:cs="Arial"/>
          <w:sz w:val="24"/>
        </w:rPr>
      </w:pPr>
    </w:p>
    <w:p w14:paraId="6B3B9954" w14:textId="17CEECAC" w:rsidR="00956E3A" w:rsidRDefault="00C758E3" w:rsidP="00C77085">
      <w:pPr>
        <w:numPr>
          <w:ilvl w:val="0"/>
          <w:numId w:val="3"/>
        </w:numPr>
        <w:ind w:right="555"/>
        <w:rPr>
          <w:rFonts w:ascii="Arial" w:hAnsi="Arial" w:cs="Arial"/>
          <w:sz w:val="24"/>
        </w:rPr>
      </w:pPr>
      <w:r>
        <w:rPr>
          <w:rFonts w:ascii="Arial" w:hAnsi="Arial" w:cs="Arial"/>
          <w:sz w:val="24"/>
        </w:rPr>
        <w:t>It follows that the amendments to paragraph 3 effectively make Schedule 5 irrelevant to the determination of any entitlement to a loan for mortgage interest and that any entitlement is to be determined only by reference to the LMI regs.  This is of course in keeping with the fact that the UC regs and the LMI regs needed two different act</w:t>
      </w:r>
      <w:r w:rsidR="00D9641F">
        <w:rPr>
          <w:rFonts w:ascii="Arial" w:hAnsi="Arial" w:cs="Arial"/>
          <w:sz w:val="24"/>
        </w:rPr>
        <w:t>s</w:t>
      </w:r>
      <w:r>
        <w:rPr>
          <w:rFonts w:ascii="Arial" w:hAnsi="Arial" w:cs="Arial"/>
          <w:sz w:val="24"/>
        </w:rPr>
        <w:t xml:space="preserve"> of primary legislation (the Welfare Reform Act 2012 and the Welfare Reform and Work Act 2016 respectively)</w:t>
      </w:r>
    </w:p>
    <w:p w14:paraId="5753B91A" w14:textId="41F0EF1D" w:rsidR="00C758E3" w:rsidRDefault="00C758E3" w:rsidP="00C758E3">
      <w:pPr>
        <w:ind w:left="720" w:right="555"/>
        <w:rPr>
          <w:rFonts w:ascii="Arial" w:hAnsi="Arial" w:cs="Arial"/>
          <w:sz w:val="24"/>
        </w:rPr>
      </w:pPr>
    </w:p>
    <w:p w14:paraId="3F546B09" w14:textId="249B10E9" w:rsidR="00C758E3" w:rsidRDefault="00C758E3" w:rsidP="00C758E3">
      <w:pPr>
        <w:ind w:left="720" w:right="555"/>
        <w:rPr>
          <w:rFonts w:ascii="Arial" w:hAnsi="Arial" w:cs="Arial"/>
          <w:sz w:val="24"/>
        </w:rPr>
      </w:pPr>
    </w:p>
    <w:p w14:paraId="6BE48FE9" w14:textId="699C4385" w:rsidR="00C758E3" w:rsidRPr="002C1C7E" w:rsidRDefault="002C1C7E" w:rsidP="002C1C7E">
      <w:pPr>
        <w:ind w:left="1701" w:right="555" w:firstLine="142"/>
        <w:rPr>
          <w:rFonts w:ascii="Arial" w:hAnsi="Arial" w:cs="Arial"/>
          <w:b/>
          <w:bCs/>
          <w:sz w:val="24"/>
          <w:u w:val="single"/>
        </w:rPr>
      </w:pPr>
      <w:r w:rsidRPr="002C1C7E">
        <w:rPr>
          <w:rFonts w:ascii="Arial" w:hAnsi="Arial" w:cs="Arial"/>
          <w:b/>
          <w:bCs/>
          <w:sz w:val="24"/>
          <w:u w:val="single"/>
        </w:rPr>
        <w:t>Entitlement to a Loan for Mortgage Interest (LMI)</w:t>
      </w:r>
    </w:p>
    <w:p w14:paraId="2AD74239" w14:textId="77777777" w:rsidR="002C1C7E" w:rsidRDefault="002C1C7E" w:rsidP="00C758E3">
      <w:pPr>
        <w:ind w:left="2835" w:right="555"/>
        <w:rPr>
          <w:rFonts w:ascii="Arial" w:hAnsi="Arial" w:cs="Arial"/>
          <w:sz w:val="24"/>
        </w:rPr>
      </w:pPr>
    </w:p>
    <w:p w14:paraId="70E30343" w14:textId="73044299" w:rsidR="00C758E3" w:rsidRDefault="002C1C7E" w:rsidP="00C77085">
      <w:pPr>
        <w:numPr>
          <w:ilvl w:val="0"/>
          <w:numId w:val="3"/>
        </w:numPr>
        <w:ind w:right="555"/>
        <w:rPr>
          <w:rFonts w:ascii="Arial" w:hAnsi="Arial" w:cs="Arial"/>
          <w:sz w:val="24"/>
        </w:rPr>
      </w:pPr>
      <w:r>
        <w:rPr>
          <w:rFonts w:ascii="Arial" w:hAnsi="Arial" w:cs="Arial"/>
          <w:sz w:val="24"/>
        </w:rPr>
        <w:t xml:space="preserve">I will concede that Ms </w:t>
      </w:r>
      <w:r w:rsidR="00D66E9C">
        <w:rPr>
          <w:rFonts w:ascii="Arial" w:hAnsi="Arial" w:cs="Arial"/>
          <w:sz w:val="24"/>
        </w:rPr>
        <w:t>X</w:t>
      </w:r>
      <w:r>
        <w:rPr>
          <w:rFonts w:ascii="Arial" w:hAnsi="Arial" w:cs="Arial"/>
          <w:sz w:val="24"/>
        </w:rPr>
        <w:t xml:space="preserve"> cannot rely on paragraph 6 of Schedule 5 of the UC Regs because a LMI is not a relevant payment for the purpose of that Schedule.</w:t>
      </w:r>
    </w:p>
    <w:p w14:paraId="4AA472F4" w14:textId="77777777" w:rsidR="002C1C7E" w:rsidRDefault="002C1C7E" w:rsidP="002C1C7E">
      <w:pPr>
        <w:ind w:left="720" w:right="555"/>
        <w:rPr>
          <w:rFonts w:ascii="Arial" w:hAnsi="Arial" w:cs="Arial"/>
          <w:sz w:val="24"/>
        </w:rPr>
      </w:pPr>
    </w:p>
    <w:p w14:paraId="44AC688C" w14:textId="079A4757" w:rsidR="002C1C7E" w:rsidRDefault="002C1C7E" w:rsidP="00C77085">
      <w:pPr>
        <w:numPr>
          <w:ilvl w:val="0"/>
          <w:numId w:val="3"/>
        </w:numPr>
        <w:ind w:right="555"/>
        <w:rPr>
          <w:rFonts w:ascii="Arial" w:hAnsi="Arial" w:cs="Arial"/>
          <w:sz w:val="24"/>
        </w:rPr>
      </w:pPr>
      <w:r>
        <w:rPr>
          <w:rFonts w:ascii="Arial" w:hAnsi="Arial" w:cs="Arial"/>
          <w:sz w:val="24"/>
        </w:rPr>
        <w:t>The nearest equivalent provision</w:t>
      </w:r>
      <w:r w:rsidR="00030F6E">
        <w:rPr>
          <w:rFonts w:ascii="Arial" w:hAnsi="Arial" w:cs="Arial"/>
          <w:sz w:val="24"/>
        </w:rPr>
        <w:t xml:space="preserve"> </w:t>
      </w:r>
      <w:proofErr w:type="gramStart"/>
      <w:r w:rsidR="00030F6E">
        <w:rPr>
          <w:rFonts w:ascii="Arial" w:hAnsi="Arial" w:cs="Arial"/>
          <w:sz w:val="24"/>
        </w:rPr>
        <w:t xml:space="preserve">to </w:t>
      </w:r>
      <w:r>
        <w:rPr>
          <w:rFonts w:ascii="Arial" w:hAnsi="Arial" w:cs="Arial"/>
          <w:sz w:val="24"/>
        </w:rPr>
        <w:t xml:space="preserve"> Sch.</w:t>
      </w:r>
      <w:proofErr w:type="gramEnd"/>
      <w:r>
        <w:rPr>
          <w:rFonts w:ascii="Arial" w:hAnsi="Arial" w:cs="Arial"/>
          <w:sz w:val="24"/>
        </w:rPr>
        <w:t xml:space="preserve"> 5(6)</w:t>
      </w:r>
      <w:r w:rsidR="009A7BA0">
        <w:rPr>
          <w:rFonts w:ascii="Arial" w:hAnsi="Arial" w:cs="Arial"/>
          <w:sz w:val="24"/>
        </w:rPr>
        <w:t xml:space="preserve"> UC Regs in</w:t>
      </w:r>
      <w:r>
        <w:rPr>
          <w:rFonts w:ascii="Arial" w:hAnsi="Arial" w:cs="Arial"/>
          <w:sz w:val="24"/>
        </w:rPr>
        <w:t xml:space="preserve"> the LMI Regs is provided by </w:t>
      </w:r>
      <w:r w:rsidR="009A7BA0">
        <w:rPr>
          <w:rFonts w:ascii="Arial" w:hAnsi="Arial" w:cs="Arial"/>
          <w:sz w:val="24"/>
        </w:rPr>
        <w:t xml:space="preserve">LMI Reg 21, however </w:t>
      </w:r>
      <w:r w:rsidR="009A7BA0" w:rsidRPr="009A7BA0">
        <w:rPr>
          <w:rFonts w:ascii="Arial" w:hAnsi="Arial" w:cs="Arial"/>
          <w:i/>
          <w:iCs/>
          <w:sz w:val="24"/>
        </w:rPr>
        <w:t>(in contrast to Sch. 5(6) UC Regs</w:t>
      </w:r>
      <w:r w:rsidR="009A7BA0" w:rsidRPr="009A7BA0">
        <w:rPr>
          <w:rFonts w:ascii="Arial" w:hAnsi="Arial" w:cs="Arial"/>
          <w:sz w:val="24"/>
        </w:rPr>
        <w:t xml:space="preserve">  </w:t>
      </w:r>
      <w:r w:rsidR="009A7BA0">
        <w:rPr>
          <w:rFonts w:ascii="Arial" w:hAnsi="Arial" w:cs="Arial"/>
          <w:sz w:val="24"/>
        </w:rPr>
        <w:t xml:space="preserve">)  Reg 21 does not refer to “an Employment and Support Allowance”, but to “a legacy benefit”, which only includes an </w:t>
      </w:r>
      <w:r w:rsidR="009A7BA0" w:rsidRPr="009A7BA0">
        <w:rPr>
          <w:rFonts w:ascii="Arial" w:hAnsi="Arial" w:cs="Arial"/>
          <w:b/>
          <w:bCs/>
          <w:sz w:val="24"/>
          <w:u w:val="single"/>
        </w:rPr>
        <w:t>Income Based</w:t>
      </w:r>
      <w:r w:rsidR="009A7BA0">
        <w:rPr>
          <w:rFonts w:ascii="Arial" w:hAnsi="Arial" w:cs="Arial"/>
          <w:sz w:val="24"/>
        </w:rPr>
        <w:t xml:space="preserve"> (my emphasis) Employment and Support Allowance.  </w:t>
      </w:r>
    </w:p>
    <w:p w14:paraId="4998EDFA" w14:textId="77777777" w:rsidR="009A7BA0" w:rsidRDefault="009A7BA0" w:rsidP="009A7BA0">
      <w:pPr>
        <w:pStyle w:val="ListParagraph"/>
        <w:rPr>
          <w:rFonts w:ascii="Arial" w:hAnsi="Arial" w:cs="Arial"/>
          <w:sz w:val="24"/>
        </w:rPr>
      </w:pPr>
    </w:p>
    <w:p w14:paraId="0267223B" w14:textId="7B3EB55F" w:rsidR="009A7BA0" w:rsidRDefault="009A7BA0" w:rsidP="00C77085">
      <w:pPr>
        <w:numPr>
          <w:ilvl w:val="0"/>
          <w:numId w:val="3"/>
        </w:numPr>
        <w:ind w:right="555"/>
        <w:rPr>
          <w:rFonts w:ascii="Arial" w:hAnsi="Arial" w:cs="Arial"/>
          <w:b/>
          <w:bCs/>
          <w:sz w:val="24"/>
        </w:rPr>
      </w:pPr>
      <w:r w:rsidRPr="009A7BA0">
        <w:rPr>
          <w:rFonts w:ascii="Arial" w:hAnsi="Arial" w:cs="Arial"/>
          <w:b/>
          <w:bCs/>
          <w:sz w:val="24"/>
        </w:rPr>
        <w:t xml:space="preserve">I will therefore concede that Ms </w:t>
      </w:r>
      <w:r w:rsidR="00D66E9C">
        <w:rPr>
          <w:rFonts w:ascii="Arial" w:hAnsi="Arial" w:cs="Arial"/>
          <w:b/>
          <w:bCs/>
          <w:sz w:val="24"/>
        </w:rPr>
        <w:t>X</w:t>
      </w:r>
      <w:r w:rsidRPr="009A7BA0">
        <w:rPr>
          <w:rFonts w:ascii="Arial" w:hAnsi="Arial" w:cs="Arial"/>
          <w:b/>
          <w:bCs/>
          <w:sz w:val="24"/>
        </w:rPr>
        <w:t xml:space="preserve"> cannot rely on her receipt of contribution-based Employment and Support Allowance in so far as it relates to the start of her qualifying period for her entitlement to an LMI.</w:t>
      </w:r>
    </w:p>
    <w:p w14:paraId="62206995" w14:textId="77777777" w:rsidR="009A7BA0" w:rsidRDefault="009A7BA0" w:rsidP="009A7BA0">
      <w:pPr>
        <w:pStyle w:val="ListParagraph"/>
        <w:rPr>
          <w:rFonts w:ascii="Arial" w:hAnsi="Arial" w:cs="Arial"/>
          <w:b/>
          <w:bCs/>
          <w:sz w:val="24"/>
        </w:rPr>
      </w:pPr>
    </w:p>
    <w:p w14:paraId="5E53C2F4" w14:textId="7852D741" w:rsidR="0046293D" w:rsidRDefault="009A7BA0" w:rsidP="00C77085">
      <w:pPr>
        <w:numPr>
          <w:ilvl w:val="0"/>
          <w:numId w:val="3"/>
        </w:numPr>
        <w:ind w:right="555"/>
        <w:rPr>
          <w:rFonts w:ascii="Arial" w:hAnsi="Arial" w:cs="Arial"/>
          <w:sz w:val="24"/>
        </w:rPr>
      </w:pPr>
      <w:r w:rsidRPr="009A7BA0">
        <w:rPr>
          <w:rFonts w:ascii="Arial" w:hAnsi="Arial" w:cs="Arial"/>
          <w:sz w:val="24"/>
        </w:rPr>
        <w:t xml:space="preserve">The </w:t>
      </w:r>
      <w:r>
        <w:rPr>
          <w:rFonts w:ascii="Arial" w:hAnsi="Arial" w:cs="Arial"/>
          <w:sz w:val="24"/>
        </w:rPr>
        <w:t>Respondent argues</w:t>
      </w:r>
      <w:r w:rsidR="0046293D">
        <w:rPr>
          <w:rFonts w:ascii="Arial" w:hAnsi="Arial" w:cs="Arial"/>
          <w:sz w:val="24"/>
        </w:rPr>
        <w:t xml:space="preserve"> (</w:t>
      </w:r>
      <w:r w:rsidR="0046293D" w:rsidRPr="0046293D">
        <w:rPr>
          <w:rFonts w:ascii="Arial" w:hAnsi="Arial" w:cs="Arial"/>
          <w:b/>
          <w:bCs/>
          <w:sz w:val="24"/>
        </w:rPr>
        <w:t>S5(12) page F of the Response</w:t>
      </w:r>
      <w:r w:rsidR="0046293D">
        <w:rPr>
          <w:rFonts w:ascii="Arial" w:hAnsi="Arial" w:cs="Arial"/>
          <w:sz w:val="24"/>
        </w:rPr>
        <w:t>)</w:t>
      </w:r>
      <w:r>
        <w:rPr>
          <w:rFonts w:ascii="Arial" w:hAnsi="Arial" w:cs="Arial"/>
          <w:sz w:val="24"/>
        </w:rPr>
        <w:t xml:space="preserve"> that the </w:t>
      </w:r>
      <w:r w:rsidR="0046293D">
        <w:rPr>
          <w:rFonts w:ascii="Arial" w:hAnsi="Arial" w:cs="Arial"/>
          <w:sz w:val="24"/>
        </w:rPr>
        <w:t>(late) payment of holiday pay by Manpower in January 2020 “resets the clock.” She argues that this is provided by paragraph 4 of Regulation 3 of the LMI Regs, but I submit that she has misinterpreted Regulation 3(4).</w:t>
      </w:r>
    </w:p>
    <w:p w14:paraId="5C3747C6" w14:textId="77777777" w:rsidR="0046293D" w:rsidRDefault="0046293D" w:rsidP="0046293D">
      <w:pPr>
        <w:pStyle w:val="ListParagraph"/>
        <w:rPr>
          <w:rFonts w:ascii="Arial" w:hAnsi="Arial" w:cs="Arial"/>
          <w:sz w:val="24"/>
        </w:rPr>
      </w:pPr>
    </w:p>
    <w:p w14:paraId="1D18D1DA" w14:textId="63FD1645" w:rsidR="0046293D" w:rsidRDefault="0046293D" w:rsidP="0046293D">
      <w:pPr>
        <w:pStyle w:val="ListParagraph"/>
        <w:numPr>
          <w:ilvl w:val="1"/>
          <w:numId w:val="3"/>
        </w:numPr>
        <w:ind w:right="555"/>
        <w:rPr>
          <w:rFonts w:ascii="Arial" w:hAnsi="Arial" w:cs="Arial"/>
          <w:sz w:val="24"/>
        </w:rPr>
      </w:pPr>
      <w:r w:rsidRPr="0046293D">
        <w:rPr>
          <w:rFonts w:ascii="Arial" w:hAnsi="Arial" w:cs="Arial"/>
          <w:sz w:val="24"/>
        </w:rPr>
        <w:t xml:space="preserve">Regulation 3(4) </w:t>
      </w:r>
      <w:proofErr w:type="gramStart"/>
      <w:r w:rsidRPr="0046293D">
        <w:rPr>
          <w:rFonts w:ascii="Arial" w:hAnsi="Arial" w:cs="Arial"/>
          <w:sz w:val="24"/>
        </w:rPr>
        <w:t>provides</w:t>
      </w:r>
      <w:proofErr w:type="gramEnd"/>
    </w:p>
    <w:p w14:paraId="7F4C4874" w14:textId="2C847FDB" w:rsidR="0046293D" w:rsidRDefault="0046293D" w:rsidP="0046293D">
      <w:pPr>
        <w:pStyle w:val="ListParagraph"/>
        <w:ind w:left="1069" w:right="555"/>
        <w:rPr>
          <w:rFonts w:ascii="Arial" w:hAnsi="Arial" w:cs="Arial"/>
          <w:sz w:val="24"/>
        </w:rPr>
      </w:pPr>
    </w:p>
    <w:p w14:paraId="7229B5D2" w14:textId="45311B25" w:rsidR="0046293D" w:rsidRDefault="0046293D" w:rsidP="0046293D">
      <w:pPr>
        <w:pStyle w:val="ListParagraph"/>
        <w:ind w:left="1069" w:right="555"/>
        <w:rPr>
          <w:rFonts w:ascii="Arial" w:hAnsi="Arial" w:cs="Arial"/>
          <w:sz w:val="24"/>
        </w:rPr>
      </w:pPr>
    </w:p>
    <w:p w14:paraId="7996835D" w14:textId="64D3C21B" w:rsidR="0046293D" w:rsidRDefault="0046293D" w:rsidP="0046293D">
      <w:pPr>
        <w:pStyle w:val="ListParagraph"/>
        <w:ind w:left="2268" w:right="555"/>
        <w:rPr>
          <w:rFonts w:ascii="Arial" w:hAnsi="Arial" w:cs="Arial"/>
          <w:sz w:val="24"/>
        </w:rPr>
      </w:pPr>
      <w:r w:rsidRPr="0046293D">
        <w:rPr>
          <w:rFonts w:ascii="Arial" w:hAnsi="Arial" w:cs="Arial"/>
          <w:sz w:val="24"/>
        </w:rPr>
        <w:t>(4) A UC claimant shall not be eligible for the offer of loan payments if—</w:t>
      </w:r>
    </w:p>
    <w:p w14:paraId="2ACA687E" w14:textId="77777777" w:rsidR="0046293D" w:rsidRPr="0046293D" w:rsidRDefault="0046293D" w:rsidP="0046293D">
      <w:pPr>
        <w:pStyle w:val="ListParagraph"/>
        <w:ind w:left="2268" w:right="555"/>
        <w:rPr>
          <w:rFonts w:ascii="Arial" w:hAnsi="Arial" w:cs="Arial"/>
          <w:sz w:val="24"/>
        </w:rPr>
      </w:pPr>
    </w:p>
    <w:p w14:paraId="43B8C7EB" w14:textId="46A6034F" w:rsidR="0046293D" w:rsidRDefault="0046293D" w:rsidP="0046293D">
      <w:pPr>
        <w:pStyle w:val="ListParagraph"/>
        <w:ind w:left="2268" w:right="555"/>
        <w:rPr>
          <w:rFonts w:ascii="Arial" w:hAnsi="Arial" w:cs="Arial"/>
          <w:sz w:val="24"/>
        </w:rPr>
      </w:pPr>
      <w:r w:rsidRPr="0046293D">
        <w:rPr>
          <w:rFonts w:ascii="Arial" w:hAnsi="Arial" w:cs="Arial"/>
          <w:sz w:val="24"/>
        </w:rPr>
        <w:t>(a)where the claimant is a single person, the claimant has any earned income; or</w:t>
      </w:r>
    </w:p>
    <w:p w14:paraId="69D9C1C4" w14:textId="77777777" w:rsidR="0046293D" w:rsidRPr="0046293D" w:rsidRDefault="0046293D" w:rsidP="0046293D">
      <w:pPr>
        <w:pStyle w:val="ListParagraph"/>
        <w:ind w:left="2268" w:right="555"/>
        <w:rPr>
          <w:rFonts w:ascii="Arial" w:hAnsi="Arial" w:cs="Arial"/>
          <w:sz w:val="24"/>
        </w:rPr>
      </w:pPr>
    </w:p>
    <w:p w14:paraId="07EB3CFA" w14:textId="5247F4F3" w:rsidR="0046293D" w:rsidRDefault="0046293D" w:rsidP="0046293D">
      <w:pPr>
        <w:pStyle w:val="ListParagraph"/>
        <w:ind w:left="2268" w:right="555"/>
        <w:rPr>
          <w:rFonts w:ascii="Arial" w:hAnsi="Arial" w:cs="Arial"/>
          <w:sz w:val="24"/>
        </w:rPr>
      </w:pPr>
      <w:r w:rsidRPr="0046293D">
        <w:rPr>
          <w:rFonts w:ascii="Arial" w:hAnsi="Arial" w:cs="Arial"/>
          <w:sz w:val="24"/>
        </w:rPr>
        <w:t>(b)</w:t>
      </w:r>
      <w:r>
        <w:rPr>
          <w:rFonts w:ascii="Arial" w:hAnsi="Arial" w:cs="Arial"/>
          <w:sz w:val="24"/>
        </w:rPr>
        <w:t xml:space="preserve"> </w:t>
      </w:r>
      <w:r w:rsidRPr="0046293D">
        <w:rPr>
          <w:rFonts w:ascii="Arial" w:hAnsi="Arial" w:cs="Arial"/>
          <w:sz w:val="24"/>
        </w:rPr>
        <w:t xml:space="preserve">where the claimant is a member of a couple, </w:t>
      </w:r>
      <w:proofErr w:type="gramStart"/>
      <w:r w:rsidRPr="0046293D">
        <w:rPr>
          <w:rFonts w:ascii="Arial" w:hAnsi="Arial" w:cs="Arial"/>
          <w:sz w:val="24"/>
        </w:rPr>
        <w:t>either member</w:t>
      </w:r>
      <w:proofErr w:type="gramEnd"/>
      <w:r w:rsidRPr="0046293D">
        <w:rPr>
          <w:rFonts w:ascii="Arial" w:hAnsi="Arial" w:cs="Arial"/>
          <w:sz w:val="24"/>
        </w:rPr>
        <w:t xml:space="preserve"> of the couple has any earned</w:t>
      </w:r>
      <w:r>
        <w:rPr>
          <w:rFonts w:ascii="Arial" w:hAnsi="Arial" w:cs="Arial"/>
          <w:sz w:val="24"/>
        </w:rPr>
        <w:t xml:space="preserve"> </w:t>
      </w:r>
      <w:r w:rsidRPr="0046293D">
        <w:rPr>
          <w:rFonts w:ascii="Arial" w:hAnsi="Arial" w:cs="Arial"/>
          <w:sz w:val="24"/>
        </w:rPr>
        <w:t>income.</w:t>
      </w:r>
    </w:p>
    <w:p w14:paraId="2D8CE81E" w14:textId="77777777" w:rsidR="0046293D" w:rsidRPr="0046293D" w:rsidRDefault="0046293D" w:rsidP="0046293D">
      <w:pPr>
        <w:pStyle w:val="ListParagraph"/>
        <w:ind w:left="2268" w:right="555"/>
        <w:rPr>
          <w:rFonts w:ascii="Arial" w:hAnsi="Arial" w:cs="Arial"/>
          <w:sz w:val="24"/>
        </w:rPr>
      </w:pPr>
    </w:p>
    <w:p w14:paraId="4D5C5B2F" w14:textId="1C2A6C73" w:rsidR="0046293D" w:rsidRDefault="0046293D" w:rsidP="0046293D">
      <w:pPr>
        <w:pStyle w:val="ListParagraph"/>
        <w:numPr>
          <w:ilvl w:val="1"/>
          <w:numId w:val="3"/>
        </w:numPr>
        <w:ind w:right="555"/>
        <w:rPr>
          <w:rFonts w:ascii="Arial" w:hAnsi="Arial" w:cs="Arial"/>
          <w:sz w:val="24"/>
        </w:rPr>
      </w:pPr>
      <w:r>
        <w:rPr>
          <w:rFonts w:ascii="Arial" w:hAnsi="Arial" w:cs="Arial"/>
          <w:sz w:val="24"/>
        </w:rPr>
        <w:lastRenderedPageBreak/>
        <w:t xml:space="preserve">It is strongly arguable that the above does not “reset the clock” during the qualifying period. </w:t>
      </w:r>
    </w:p>
    <w:p w14:paraId="228F34EC" w14:textId="77777777" w:rsidR="0046293D" w:rsidRDefault="0046293D" w:rsidP="0046293D">
      <w:pPr>
        <w:pStyle w:val="ListParagraph"/>
        <w:ind w:left="1069" w:right="555"/>
        <w:rPr>
          <w:rFonts w:ascii="Arial" w:hAnsi="Arial" w:cs="Arial"/>
          <w:sz w:val="24"/>
        </w:rPr>
      </w:pPr>
    </w:p>
    <w:p w14:paraId="75A2C991" w14:textId="1D877BB9" w:rsidR="009224DC" w:rsidRDefault="009224DC" w:rsidP="0046293D">
      <w:pPr>
        <w:pStyle w:val="ListParagraph"/>
        <w:numPr>
          <w:ilvl w:val="1"/>
          <w:numId w:val="3"/>
        </w:numPr>
        <w:ind w:right="555"/>
        <w:rPr>
          <w:rFonts w:ascii="Arial" w:hAnsi="Arial" w:cs="Arial"/>
          <w:sz w:val="24"/>
        </w:rPr>
      </w:pPr>
      <w:r>
        <w:rPr>
          <w:rFonts w:ascii="Arial" w:hAnsi="Arial" w:cs="Arial"/>
          <w:sz w:val="24"/>
        </w:rPr>
        <w:t xml:space="preserve">“Qualifying Period” for the purposes of the LMI Regs is defined by Reg 2 as </w:t>
      </w:r>
    </w:p>
    <w:p w14:paraId="1386F5CC" w14:textId="77777777" w:rsidR="009224DC" w:rsidRPr="009224DC" w:rsidRDefault="009224DC" w:rsidP="009224DC">
      <w:pPr>
        <w:pStyle w:val="ListParagraph"/>
        <w:ind w:left="2268" w:right="555"/>
        <w:rPr>
          <w:rFonts w:ascii="Arial" w:hAnsi="Arial" w:cs="Arial"/>
          <w:sz w:val="24"/>
        </w:rPr>
      </w:pPr>
      <w:r w:rsidRPr="009224DC">
        <w:rPr>
          <w:rFonts w:ascii="Arial" w:hAnsi="Arial" w:cs="Arial"/>
          <w:sz w:val="24"/>
        </w:rPr>
        <w:t>a period of—</w:t>
      </w:r>
    </w:p>
    <w:p w14:paraId="295DF540" w14:textId="5849A4A2" w:rsidR="009224DC" w:rsidRDefault="009224DC" w:rsidP="009224DC">
      <w:pPr>
        <w:pStyle w:val="ListParagraph"/>
        <w:numPr>
          <w:ilvl w:val="0"/>
          <w:numId w:val="6"/>
        </w:numPr>
        <w:ind w:right="555"/>
        <w:rPr>
          <w:rFonts w:ascii="Arial" w:hAnsi="Arial" w:cs="Arial"/>
          <w:sz w:val="24"/>
        </w:rPr>
      </w:pPr>
      <w:r w:rsidRPr="009224DC">
        <w:rPr>
          <w:rFonts w:ascii="Arial" w:hAnsi="Arial" w:cs="Arial"/>
          <w:sz w:val="24"/>
        </w:rPr>
        <w:t>nine consecutive assessment periods in which a claimant has been entitled to universal</w:t>
      </w:r>
      <w:r>
        <w:rPr>
          <w:rFonts w:ascii="Arial" w:hAnsi="Arial" w:cs="Arial"/>
          <w:sz w:val="24"/>
        </w:rPr>
        <w:t xml:space="preserve"> </w:t>
      </w:r>
      <w:proofErr w:type="gramStart"/>
      <w:r w:rsidRPr="009224DC">
        <w:rPr>
          <w:rFonts w:ascii="Arial" w:hAnsi="Arial" w:cs="Arial"/>
          <w:sz w:val="24"/>
        </w:rPr>
        <w:t>credit;</w:t>
      </w:r>
      <w:proofErr w:type="gramEnd"/>
    </w:p>
    <w:p w14:paraId="4ACDE7FD" w14:textId="77777777" w:rsidR="009224DC" w:rsidRPr="009224DC" w:rsidRDefault="009224DC" w:rsidP="009224DC">
      <w:pPr>
        <w:pStyle w:val="ListParagraph"/>
        <w:ind w:left="2628" w:right="555"/>
        <w:rPr>
          <w:rFonts w:ascii="Arial" w:hAnsi="Arial" w:cs="Arial"/>
          <w:sz w:val="24"/>
        </w:rPr>
      </w:pPr>
    </w:p>
    <w:p w14:paraId="6A19B43C" w14:textId="2A84C6BB" w:rsidR="009224DC" w:rsidRPr="009224DC" w:rsidRDefault="009224DC" w:rsidP="009224DC">
      <w:pPr>
        <w:pStyle w:val="ListParagraph"/>
        <w:ind w:left="2268" w:right="555"/>
        <w:rPr>
          <w:rFonts w:ascii="Arial" w:hAnsi="Arial" w:cs="Arial"/>
          <w:sz w:val="24"/>
        </w:rPr>
      </w:pPr>
      <w:r w:rsidRPr="009224DC">
        <w:rPr>
          <w:rFonts w:ascii="Arial" w:hAnsi="Arial" w:cs="Arial"/>
          <w:sz w:val="24"/>
        </w:rPr>
        <w:t>(b)</w:t>
      </w:r>
      <w:r>
        <w:rPr>
          <w:rFonts w:ascii="Arial" w:hAnsi="Arial" w:cs="Arial"/>
          <w:sz w:val="24"/>
        </w:rPr>
        <w:t xml:space="preserve"> </w:t>
      </w:r>
      <w:r w:rsidRPr="009224DC">
        <w:rPr>
          <w:rFonts w:ascii="Arial" w:hAnsi="Arial" w:cs="Arial"/>
          <w:sz w:val="24"/>
        </w:rPr>
        <w:t>39 consecutive weeks in which a claimant—</w:t>
      </w:r>
    </w:p>
    <w:p w14:paraId="44E56451" w14:textId="42C8AC21" w:rsidR="009224DC" w:rsidRPr="009224DC" w:rsidRDefault="009224DC" w:rsidP="009224DC">
      <w:pPr>
        <w:pStyle w:val="ListParagraph"/>
        <w:ind w:left="2268" w:right="555"/>
        <w:rPr>
          <w:rFonts w:ascii="Arial" w:hAnsi="Arial" w:cs="Arial"/>
          <w:sz w:val="24"/>
        </w:rPr>
      </w:pPr>
      <w:r w:rsidRPr="009224DC">
        <w:rPr>
          <w:rFonts w:ascii="Arial" w:hAnsi="Arial" w:cs="Arial"/>
          <w:sz w:val="24"/>
        </w:rPr>
        <w:t>(</w:t>
      </w:r>
      <w:proofErr w:type="spellStart"/>
      <w:r w:rsidRPr="009224DC">
        <w:rPr>
          <w:rFonts w:ascii="Arial" w:hAnsi="Arial" w:cs="Arial"/>
          <w:sz w:val="24"/>
        </w:rPr>
        <w:t>i</w:t>
      </w:r>
      <w:proofErr w:type="spellEnd"/>
      <w:r w:rsidRPr="009224DC">
        <w:rPr>
          <w:rFonts w:ascii="Arial" w:hAnsi="Arial" w:cs="Arial"/>
          <w:sz w:val="24"/>
        </w:rPr>
        <w:t>)has been entitled to a legacy benefit; or</w:t>
      </w:r>
    </w:p>
    <w:p w14:paraId="37E1ECCA" w14:textId="278050AC" w:rsidR="009224DC" w:rsidRPr="009224DC" w:rsidRDefault="009224DC" w:rsidP="009224DC">
      <w:pPr>
        <w:pStyle w:val="ListParagraph"/>
        <w:ind w:left="2268" w:right="555"/>
        <w:rPr>
          <w:rFonts w:ascii="Arial" w:hAnsi="Arial" w:cs="Arial"/>
          <w:sz w:val="24"/>
        </w:rPr>
      </w:pPr>
      <w:r w:rsidRPr="009224DC">
        <w:rPr>
          <w:rFonts w:ascii="Arial" w:hAnsi="Arial" w:cs="Arial"/>
          <w:sz w:val="24"/>
        </w:rPr>
        <w:t>(ii)is treated as having been entitled to such a benefit under —</w:t>
      </w:r>
    </w:p>
    <w:p w14:paraId="1F0C35FC" w14:textId="7CB53AAA" w:rsidR="009224DC" w:rsidRPr="009224DC" w:rsidRDefault="009224DC" w:rsidP="009224DC">
      <w:pPr>
        <w:pStyle w:val="ListParagraph"/>
        <w:ind w:left="2268" w:right="555"/>
        <w:rPr>
          <w:rFonts w:ascii="Arial" w:hAnsi="Arial" w:cs="Arial"/>
          <w:sz w:val="24"/>
        </w:rPr>
      </w:pPr>
      <w:r w:rsidRPr="009224DC">
        <w:rPr>
          <w:rFonts w:ascii="Arial" w:hAnsi="Arial" w:cs="Arial"/>
          <w:sz w:val="24"/>
        </w:rPr>
        <w:t>(aa)paragraph 14 of Schedule 3 to the IS Regulations</w:t>
      </w:r>
    </w:p>
    <w:p w14:paraId="6D585B16" w14:textId="4F988FD1" w:rsidR="009224DC" w:rsidRPr="009224DC" w:rsidRDefault="009224DC" w:rsidP="009224DC">
      <w:pPr>
        <w:pStyle w:val="ListParagraph"/>
        <w:ind w:left="2268" w:right="555"/>
        <w:rPr>
          <w:rFonts w:ascii="Arial" w:hAnsi="Arial" w:cs="Arial"/>
          <w:sz w:val="24"/>
        </w:rPr>
      </w:pPr>
      <w:r w:rsidRPr="009224DC">
        <w:rPr>
          <w:rFonts w:ascii="Arial" w:hAnsi="Arial" w:cs="Arial"/>
          <w:sz w:val="24"/>
        </w:rPr>
        <w:t xml:space="preserve">(bb)paragraph 13 of Schedule 2 to the JSA </w:t>
      </w:r>
      <w:proofErr w:type="gramStart"/>
      <w:r w:rsidRPr="009224DC">
        <w:rPr>
          <w:rFonts w:ascii="Arial" w:hAnsi="Arial" w:cs="Arial"/>
          <w:sz w:val="24"/>
        </w:rPr>
        <w:t>Regulations(</w:t>
      </w:r>
      <w:proofErr w:type="gramEnd"/>
      <w:r w:rsidRPr="009224DC">
        <w:rPr>
          <w:rFonts w:ascii="Arial" w:hAnsi="Arial" w:cs="Arial"/>
          <w:sz w:val="24"/>
        </w:rPr>
        <w:t>; or</w:t>
      </w:r>
    </w:p>
    <w:p w14:paraId="419B7AF3" w14:textId="203C5858" w:rsidR="009224DC" w:rsidRDefault="009224DC" w:rsidP="009224DC">
      <w:pPr>
        <w:pStyle w:val="ListParagraph"/>
        <w:ind w:left="2268" w:right="555"/>
        <w:rPr>
          <w:rFonts w:ascii="Arial" w:hAnsi="Arial" w:cs="Arial"/>
          <w:sz w:val="24"/>
        </w:rPr>
      </w:pPr>
      <w:r w:rsidRPr="009224DC">
        <w:rPr>
          <w:rFonts w:ascii="Arial" w:hAnsi="Arial" w:cs="Arial"/>
          <w:sz w:val="24"/>
        </w:rPr>
        <w:t xml:space="preserve">(cc)paragraph 15 of Schedule 6 to the ESA </w:t>
      </w:r>
      <w:r>
        <w:rPr>
          <w:rFonts w:ascii="Arial" w:hAnsi="Arial" w:cs="Arial"/>
          <w:sz w:val="24"/>
        </w:rPr>
        <w:t>R</w:t>
      </w:r>
      <w:r w:rsidRPr="009224DC">
        <w:rPr>
          <w:rFonts w:ascii="Arial" w:hAnsi="Arial" w:cs="Arial"/>
          <w:sz w:val="24"/>
        </w:rPr>
        <w:t>egulations</w:t>
      </w:r>
    </w:p>
    <w:p w14:paraId="011BB1B9" w14:textId="77777777" w:rsidR="009224DC" w:rsidRPr="009224DC" w:rsidRDefault="009224DC" w:rsidP="009224DC">
      <w:pPr>
        <w:pStyle w:val="ListParagraph"/>
        <w:rPr>
          <w:rFonts w:ascii="Arial" w:hAnsi="Arial" w:cs="Arial"/>
          <w:sz w:val="24"/>
        </w:rPr>
      </w:pPr>
    </w:p>
    <w:p w14:paraId="65161B83" w14:textId="10C49D47" w:rsidR="0046293D" w:rsidRDefault="009224DC" w:rsidP="0046293D">
      <w:pPr>
        <w:pStyle w:val="ListParagraph"/>
        <w:numPr>
          <w:ilvl w:val="1"/>
          <w:numId w:val="3"/>
        </w:numPr>
        <w:ind w:right="555"/>
        <w:rPr>
          <w:rFonts w:ascii="Arial" w:hAnsi="Arial" w:cs="Arial"/>
          <w:sz w:val="24"/>
        </w:rPr>
      </w:pPr>
      <w:r>
        <w:rPr>
          <w:rFonts w:ascii="Arial" w:hAnsi="Arial" w:cs="Arial"/>
          <w:sz w:val="24"/>
        </w:rPr>
        <w:t>The only relevant criterion in light of above</w:t>
      </w:r>
      <w:r w:rsidR="00030F6E">
        <w:rPr>
          <w:rFonts w:ascii="Arial" w:hAnsi="Arial" w:cs="Arial"/>
          <w:sz w:val="24"/>
        </w:rPr>
        <w:t xml:space="preserve"> </w:t>
      </w:r>
      <w:proofErr w:type="gramStart"/>
      <w:r w:rsidR="00030F6E">
        <w:rPr>
          <w:rFonts w:ascii="Arial" w:hAnsi="Arial" w:cs="Arial"/>
          <w:sz w:val="24"/>
        </w:rPr>
        <w:t xml:space="preserve">is </w:t>
      </w:r>
      <w:r>
        <w:rPr>
          <w:rFonts w:ascii="Arial" w:hAnsi="Arial" w:cs="Arial"/>
          <w:sz w:val="24"/>
        </w:rPr>
        <w:t xml:space="preserve"> that</w:t>
      </w:r>
      <w:proofErr w:type="gramEnd"/>
      <w:r>
        <w:rPr>
          <w:rFonts w:ascii="Arial" w:hAnsi="Arial" w:cs="Arial"/>
          <w:sz w:val="24"/>
        </w:rPr>
        <w:t xml:space="preserve"> of entitlement to UC (regardless of any earned income).  There is thus no provision for “resetting the clock</w:t>
      </w:r>
      <w:r w:rsidR="00030F6E">
        <w:rPr>
          <w:rFonts w:ascii="Arial" w:hAnsi="Arial" w:cs="Arial"/>
          <w:sz w:val="24"/>
        </w:rPr>
        <w:t>”</w:t>
      </w:r>
      <w:r>
        <w:rPr>
          <w:rFonts w:ascii="Arial" w:hAnsi="Arial" w:cs="Arial"/>
          <w:sz w:val="24"/>
        </w:rPr>
        <w:t xml:space="preserve"> as argued by the Respondent.</w:t>
      </w:r>
      <w:r w:rsidR="0046293D">
        <w:rPr>
          <w:rFonts w:ascii="Arial" w:hAnsi="Arial" w:cs="Arial"/>
          <w:sz w:val="24"/>
        </w:rPr>
        <w:t xml:space="preserve"> </w:t>
      </w:r>
    </w:p>
    <w:p w14:paraId="7CB77932" w14:textId="77777777" w:rsidR="009224DC" w:rsidRDefault="009224DC" w:rsidP="009224DC">
      <w:pPr>
        <w:pStyle w:val="ListParagraph"/>
        <w:ind w:left="1069" w:right="555"/>
        <w:rPr>
          <w:rFonts w:ascii="Arial" w:hAnsi="Arial" w:cs="Arial"/>
          <w:sz w:val="24"/>
        </w:rPr>
      </w:pPr>
    </w:p>
    <w:p w14:paraId="387D71AD" w14:textId="074D2D23" w:rsidR="009224DC" w:rsidRDefault="009224DC" w:rsidP="0046293D">
      <w:pPr>
        <w:pStyle w:val="ListParagraph"/>
        <w:numPr>
          <w:ilvl w:val="1"/>
          <w:numId w:val="3"/>
        </w:numPr>
        <w:ind w:right="555"/>
        <w:rPr>
          <w:rFonts w:ascii="Arial" w:hAnsi="Arial" w:cs="Arial"/>
          <w:sz w:val="24"/>
        </w:rPr>
      </w:pPr>
      <w:r>
        <w:rPr>
          <w:rFonts w:ascii="Arial" w:hAnsi="Arial" w:cs="Arial"/>
          <w:sz w:val="24"/>
        </w:rPr>
        <w:t xml:space="preserve">My argument is made even stronger when </w:t>
      </w:r>
      <w:r w:rsidR="00BF22E5">
        <w:rPr>
          <w:rFonts w:ascii="Arial" w:hAnsi="Arial" w:cs="Arial"/>
          <w:sz w:val="24"/>
        </w:rPr>
        <w:t>Reg 2 as cited is</w:t>
      </w:r>
      <w:r>
        <w:rPr>
          <w:rFonts w:ascii="Arial" w:hAnsi="Arial" w:cs="Arial"/>
          <w:sz w:val="24"/>
        </w:rPr>
        <w:t xml:space="preserve"> </w:t>
      </w:r>
      <w:r w:rsidR="00C13BA0">
        <w:rPr>
          <w:rFonts w:ascii="Arial" w:hAnsi="Arial" w:cs="Arial"/>
          <w:sz w:val="24"/>
        </w:rPr>
        <w:t>compared</w:t>
      </w:r>
      <w:r>
        <w:rPr>
          <w:rFonts w:ascii="Arial" w:hAnsi="Arial" w:cs="Arial"/>
          <w:sz w:val="24"/>
        </w:rPr>
        <w:t xml:space="preserve"> with the provisions in </w:t>
      </w:r>
      <w:r w:rsidR="00BF22E5">
        <w:rPr>
          <w:rFonts w:ascii="Arial" w:hAnsi="Arial" w:cs="Arial"/>
          <w:sz w:val="24"/>
        </w:rPr>
        <w:t xml:space="preserve">paragraph 5(3) of </w:t>
      </w:r>
      <w:proofErr w:type="spellStart"/>
      <w:r w:rsidR="00BF22E5">
        <w:rPr>
          <w:rFonts w:ascii="Arial" w:hAnsi="Arial" w:cs="Arial"/>
          <w:sz w:val="24"/>
        </w:rPr>
        <w:t>Sch</w:t>
      </w:r>
      <w:proofErr w:type="spellEnd"/>
      <w:r w:rsidR="00BF22E5">
        <w:rPr>
          <w:rFonts w:ascii="Arial" w:hAnsi="Arial" w:cs="Arial"/>
          <w:sz w:val="24"/>
        </w:rPr>
        <w:t xml:space="preserve"> 5 UC Regs. Paragraph 5(3) </w:t>
      </w:r>
      <w:r w:rsidR="00C13BA0">
        <w:rPr>
          <w:rFonts w:ascii="Arial" w:hAnsi="Arial" w:cs="Arial"/>
          <w:sz w:val="24"/>
        </w:rPr>
        <w:t>provides.</w:t>
      </w:r>
    </w:p>
    <w:p w14:paraId="40BDF055" w14:textId="77777777" w:rsidR="00BF22E5" w:rsidRPr="00BF22E5" w:rsidRDefault="00BF22E5" w:rsidP="00BF22E5">
      <w:pPr>
        <w:pStyle w:val="ListParagraph"/>
        <w:rPr>
          <w:rFonts w:ascii="Arial" w:hAnsi="Arial" w:cs="Arial"/>
          <w:sz w:val="24"/>
        </w:rPr>
      </w:pPr>
    </w:p>
    <w:p w14:paraId="3B6386E2" w14:textId="53823AD2" w:rsidR="00BF22E5" w:rsidRDefault="00BF22E5" w:rsidP="00BF22E5">
      <w:pPr>
        <w:pStyle w:val="ListParagraph"/>
        <w:ind w:left="2268" w:right="555"/>
        <w:rPr>
          <w:rFonts w:ascii="Arial" w:hAnsi="Arial" w:cs="Arial"/>
          <w:sz w:val="24"/>
        </w:rPr>
      </w:pPr>
      <w:r w:rsidRPr="00BF22E5">
        <w:rPr>
          <w:rFonts w:ascii="Arial" w:hAnsi="Arial" w:cs="Arial"/>
          <w:sz w:val="24"/>
        </w:rPr>
        <w:t>(3) Where, before the end of a qualifying period, an owner-occupier for any reason ceases to</w:t>
      </w:r>
      <w:r>
        <w:rPr>
          <w:rFonts w:ascii="Arial" w:hAnsi="Arial" w:cs="Arial"/>
          <w:sz w:val="24"/>
        </w:rPr>
        <w:t xml:space="preserve"> </w:t>
      </w:r>
      <w:r w:rsidRPr="00BF22E5">
        <w:rPr>
          <w:rFonts w:ascii="Arial" w:hAnsi="Arial" w:cs="Arial"/>
          <w:sz w:val="24"/>
        </w:rPr>
        <w:t>qualify for the inclusion of an amount calculated under this Schedule—</w:t>
      </w:r>
    </w:p>
    <w:p w14:paraId="70BF88B6" w14:textId="77777777" w:rsidR="00BF22E5" w:rsidRPr="00BF22E5" w:rsidRDefault="00BF22E5" w:rsidP="00BF22E5">
      <w:pPr>
        <w:pStyle w:val="ListParagraph"/>
        <w:ind w:left="2268" w:right="555"/>
        <w:rPr>
          <w:rFonts w:ascii="Arial" w:hAnsi="Arial" w:cs="Arial"/>
          <w:sz w:val="24"/>
        </w:rPr>
      </w:pPr>
    </w:p>
    <w:p w14:paraId="7DA81444" w14:textId="5639505E" w:rsidR="00BF22E5" w:rsidRDefault="00BF22E5" w:rsidP="00BF22E5">
      <w:pPr>
        <w:pStyle w:val="ListParagraph"/>
        <w:ind w:left="2268" w:right="555"/>
        <w:rPr>
          <w:rFonts w:ascii="Arial" w:hAnsi="Arial" w:cs="Arial"/>
          <w:sz w:val="24"/>
        </w:rPr>
      </w:pPr>
      <w:r w:rsidRPr="00BF22E5">
        <w:rPr>
          <w:rFonts w:ascii="Arial" w:hAnsi="Arial" w:cs="Arial"/>
          <w:sz w:val="24"/>
        </w:rPr>
        <w:t>(a)that qualifying period stops running; and</w:t>
      </w:r>
    </w:p>
    <w:p w14:paraId="6FCD1976" w14:textId="77777777" w:rsidR="00BF22E5" w:rsidRPr="00BF22E5" w:rsidRDefault="00BF22E5" w:rsidP="00BF22E5">
      <w:pPr>
        <w:pStyle w:val="ListParagraph"/>
        <w:ind w:left="2268" w:right="555"/>
        <w:rPr>
          <w:rFonts w:ascii="Arial" w:hAnsi="Arial" w:cs="Arial"/>
          <w:sz w:val="24"/>
        </w:rPr>
      </w:pPr>
    </w:p>
    <w:p w14:paraId="7968B392" w14:textId="41FAF47D" w:rsidR="00BF22E5" w:rsidRDefault="00BF22E5" w:rsidP="00BF22E5">
      <w:pPr>
        <w:pStyle w:val="ListParagraph"/>
        <w:numPr>
          <w:ilvl w:val="0"/>
          <w:numId w:val="6"/>
        </w:numPr>
        <w:ind w:right="555"/>
        <w:rPr>
          <w:rFonts w:ascii="Arial" w:hAnsi="Arial" w:cs="Arial"/>
          <w:sz w:val="24"/>
        </w:rPr>
      </w:pPr>
      <w:r w:rsidRPr="00BF22E5">
        <w:rPr>
          <w:rFonts w:ascii="Arial" w:hAnsi="Arial" w:cs="Arial"/>
          <w:sz w:val="24"/>
        </w:rPr>
        <w:t>a new qualifying period starts only when the owner-occupier again meets the requirements</w:t>
      </w:r>
      <w:r>
        <w:rPr>
          <w:rFonts w:ascii="Arial" w:hAnsi="Arial" w:cs="Arial"/>
          <w:sz w:val="24"/>
        </w:rPr>
        <w:t xml:space="preserve"> </w:t>
      </w:r>
      <w:r w:rsidRPr="00BF22E5">
        <w:rPr>
          <w:rFonts w:ascii="Arial" w:hAnsi="Arial" w:cs="Arial"/>
          <w:sz w:val="24"/>
        </w:rPr>
        <w:t>of sub-paragraph (2)(a) or (b).</w:t>
      </w:r>
    </w:p>
    <w:p w14:paraId="360FF6D7" w14:textId="77777777" w:rsidR="00BF22E5" w:rsidRPr="00BF22E5" w:rsidRDefault="00BF22E5" w:rsidP="00BF22E5">
      <w:pPr>
        <w:pStyle w:val="ListParagraph"/>
        <w:rPr>
          <w:rFonts w:ascii="Arial" w:hAnsi="Arial" w:cs="Arial"/>
          <w:sz w:val="24"/>
        </w:rPr>
      </w:pPr>
    </w:p>
    <w:p w14:paraId="489C0816" w14:textId="277BD8E6" w:rsidR="00BF22E5" w:rsidRPr="0046293D" w:rsidRDefault="00BF22E5" w:rsidP="0046293D">
      <w:pPr>
        <w:pStyle w:val="ListParagraph"/>
        <w:numPr>
          <w:ilvl w:val="1"/>
          <w:numId w:val="3"/>
        </w:numPr>
        <w:ind w:right="555"/>
        <w:rPr>
          <w:rFonts w:ascii="Arial" w:hAnsi="Arial" w:cs="Arial"/>
          <w:sz w:val="24"/>
        </w:rPr>
      </w:pPr>
      <w:r>
        <w:rPr>
          <w:rFonts w:ascii="Arial" w:hAnsi="Arial" w:cs="Arial"/>
          <w:sz w:val="24"/>
        </w:rPr>
        <w:t xml:space="preserve">The above provision in </w:t>
      </w:r>
      <w:proofErr w:type="spellStart"/>
      <w:r>
        <w:rPr>
          <w:rFonts w:ascii="Arial" w:hAnsi="Arial" w:cs="Arial"/>
          <w:sz w:val="24"/>
        </w:rPr>
        <w:t>Sch</w:t>
      </w:r>
      <w:proofErr w:type="spellEnd"/>
      <w:r>
        <w:rPr>
          <w:rFonts w:ascii="Arial" w:hAnsi="Arial" w:cs="Arial"/>
          <w:sz w:val="24"/>
        </w:rPr>
        <w:t xml:space="preserve"> 5 UC Regs is completely absent from the LMI </w:t>
      </w:r>
      <w:r w:rsidR="00C13BA0">
        <w:rPr>
          <w:rFonts w:ascii="Arial" w:hAnsi="Arial" w:cs="Arial"/>
          <w:sz w:val="24"/>
        </w:rPr>
        <w:t>Regs.</w:t>
      </w:r>
    </w:p>
    <w:p w14:paraId="4E6AF557" w14:textId="77777777" w:rsidR="0046293D" w:rsidRDefault="0046293D" w:rsidP="0046293D">
      <w:pPr>
        <w:pStyle w:val="ListParagraph"/>
        <w:rPr>
          <w:rFonts w:ascii="Arial" w:hAnsi="Arial" w:cs="Arial"/>
          <w:sz w:val="24"/>
        </w:rPr>
      </w:pPr>
    </w:p>
    <w:p w14:paraId="21D777EC" w14:textId="16992C46" w:rsidR="009A7BA0" w:rsidRDefault="0046293D" w:rsidP="00C77085">
      <w:pPr>
        <w:numPr>
          <w:ilvl w:val="0"/>
          <w:numId w:val="3"/>
        </w:numPr>
        <w:ind w:right="555"/>
        <w:rPr>
          <w:rFonts w:ascii="Arial" w:hAnsi="Arial" w:cs="Arial"/>
          <w:sz w:val="24"/>
        </w:rPr>
      </w:pPr>
      <w:r>
        <w:rPr>
          <w:rFonts w:ascii="Arial" w:hAnsi="Arial" w:cs="Arial"/>
          <w:sz w:val="24"/>
        </w:rPr>
        <w:t xml:space="preserve"> </w:t>
      </w:r>
      <w:r w:rsidR="00BF22E5">
        <w:rPr>
          <w:rFonts w:ascii="Arial" w:hAnsi="Arial" w:cs="Arial"/>
          <w:sz w:val="24"/>
        </w:rPr>
        <w:t xml:space="preserve">There is thus no need for any Johnson arguments regarding earnings because Ms </w:t>
      </w:r>
      <w:r w:rsidR="00D66E9C">
        <w:rPr>
          <w:rFonts w:ascii="Arial" w:hAnsi="Arial" w:cs="Arial"/>
          <w:sz w:val="24"/>
        </w:rPr>
        <w:t>X</w:t>
      </w:r>
      <w:r w:rsidR="00BF22E5">
        <w:rPr>
          <w:rFonts w:ascii="Arial" w:hAnsi="Arial" w:cs="Arial"/>
          <w:sz w:val="24"/>
        </w:rPr>
        <w:t xml:space="preserve"> will be entitled to an LMI after nine consecutive periods of entitlement to </w:t>
      </w:r>
      <w:r w:rsidR="00C13BA0">
        <w:rPr>
          <w:rFonts w:ascii="Arial" w:hAnsi="Arial" w:cs="Arial"/>
          <w:sz w:val="24"/>
        </w:rPr>
        <w:t>UC (</w:t>
      </w:r>
      <w:proofErr w:type="gramStart"/>
      <w:r w:rsidR="00C13BA0" w:rsidRPr="00C13BA0">
        <w:rPr>
          <w:rFonts w:ascii="Arial" w:hAnsi="Arial" w:cs="Arial"/>
          <w:i/>
          <w:iCs/>
          <w:sz w:val="24"/>
        </w:rPr>
        <w:t>i.e.</w:t>
      </w:r>
      <w:proofErr w:type="gramEnd"/>
      <w:r w:rsidR="00C13BA0" w:rsidRPr="00C13BA0">
        <w:rPr>
          <w:rFonts w:ascii="Arial" w:hAnsi="Arial" w:cs="Arial"/>
          <w:i/>
          <w:iCs/>
          <w:sz w:val="24"/>
        </w:rPr>
        <w:t xml:space="preserve"> from 23 October 2020</w:t>
      </w:r>
      <w:r w:rsidR="00C13BA0">
        <w:rPr>
          <w:rFonts w:ascii="Arial" w:hAnsi="Arial" w:cs="Arial"/>
          <w:sz w:val="24"/>
        </w:rPr>
        <w:t xml:space="preserve">) </w:t>
      </w:r>
      <w:r w:rsidR="00BF22E5">
        <w:rPr>
          <w:rFonts w:ascii="Arial" w:hAnsi="Arial" w:cs="Arial"/>
          <w:sz w:val="24"/>
        </w:rPr>
        <w:t>regardless of having any earned income</w:t>
      </w:r>
      <w:r w:rsidR="00C13BA0">
        <w:rPr>
          <w:rFonts w:ascii="Arial" w:hAnsi="Arial" w:cs="Arial"/>
          <w:sz w:val="24"/>
        </w:rPr>
        <w:t xml:space="preserve"> during the intervening period.</w:t>
      </w:r>
      <w:r w:rsidR="00BF22E5">
        <w:rPr>
          <w:rFonts w:ascii="Arial" w:hAnsi="Arial" w:cs="Arial"/>
          <w:sz w:val="24"/>
        </w:rPr>
        <w:t xml:space="preserve">  </w:t>
      </w:r>
      <w:r w:rsidR="00C13BA0">
        <w:rPr>
          <w:rFonts w:ascii="Arial" w:hAnsi="Arial" w:cs="Arial"/>
          <w:sz w:val="24"/>
        </w:rPr>
        <w:t>Earned income</w:t>
      </w:r>
      <w:r w:rsidR="00BF22E5">
        <w:rPr>
          <w:rFonts w:ascii="Arial" w:hAnsi="Arial" w:cs="Arial"/>
          <w:sz w:val="24"/>
        </w:rPr>
        <w:t xml:space="preserve"> would only become relevant if she had any </w:t>
      </w:r>
      <w:r w:rsidR="00C13BA0">
        <w:rPr>
          <w:rFonts w:ascii="Arial" w:hAnsi="Arial" w:cs="Arial"/>
          <w:sz w:val="24"/>
        </w:rPr>
        <w:t>such income</w:t>
      </w:r>
      <w:r w:rsidR="00BF22E5">
        <w:rPr>
          <w:rFonts w:ascii="Arial" w:hAnsi="Arial" w:cs="Arial"/>
          <w:sz w:val="24"/>
        </w:rPr>
        <w:t xml:space="preserve"> during an assessment </w:t>
      </w:r>
      <w:r w:rsidR="00C13BA0">
        <w:rPr>
          <w:rFonts w:ascii="Arial" w:hAnsi="Arial" w:cs="Arial"/>
          <w:sz w:val="24"/>
        </w:rPr>
        <w:t xml:space="preserve">period </w:t>
      </w:r>
      <w:r w:rsidR="00C13BA0" w:rsidRPr="00C13BA0">
        <w:rPr>
          <w:rFonts w:ascii="Arial" w:hAnsi="Arial" w:cs="Arial"/>
          <w:b/>
          <w:bCs/>
          <w:sz w:val="24"/>
          <w:u w:val="single"/>
        </w:rPr>
        <w:t>afte</w:t>
      </w:r>
      <w:r w:rsidR="00C13BA0">
        <w:rPr>
          <w:rFonts w:ascii="Arial" w:hAnsi="Arial" w:cs="Arial"/>
          <w:sz w:val="24"/>
        </w:rPr>
        <w:t>r</w:t>
      </w:r>
      <w:r w:rsidR="00BF22E5">
        <w:rPr>
          <w:rFonts w:ascii="Arial" w:hAnsi="Arial" w:cs="Arial"/>
          <w:sz w:val="24"/>
        </w:rPr>
        <w:t xml:space="preserve"> that qualifying period.</w:t>
      </w:r>
    </w:p>
    <w:p w14:paraId="7E323ED0" w14:textId="68A09D15" w:rsidR="00C13BA0" w:rsidRDefault="00C13BA0" w:rsidP="00C13BA0">
      <w:pPr>
        <w:ind w:left="720" w:right="555"/>
        <w:rPr>
          <w:rFonts w:ascii="Arial" w:hAnsi="Arial" w:cs="Arial"/>
          <w:sz w:val="24"/>
        </w:rPr>
      </w:pPr>
    </w:p>
    <w:p w14:paraId="74B721A4" w14:textId="309289D0" w:rsidR="00C13BA0" w:rsidRDefault="00C13BA0" w:rsidP="00C13BA0">
      <w:pPr>
        <w:ind w:left="720" w:right="555"/>
        <w:rPr>
          <w:rFonts w:ascii="Arial" w:hAnsi="Arial" w:cs="Arial"/>
          <w:sz w:val="24"/>
        </w:rPr>
      </w:pPr>
    </w:p>
    <w:p w14:paraId="00BDC682" w14:textId="48C7E59C" w:rsidR="00C13BA0" w:rsidRDefault="00C13BA0" w:rsidP="00C13BA0">
      <w:pPr>
        <w:ind w:left="2977" w:right="555"/>
        <w:rPr>
          <w:rFonts w:ascii="Arial" w:hAnsi="Arial" w:cs="Arial"/>
          <w:b/>
          <w:bCs/>
          <w:sz w:val="24"/>
          <w:u w:val="single"/>
        </w:rPr>
      </w:pPr>
      <w:r w:rsidRPr="00C13BA0">
        <w:rPr>
          <w:rFonts w:ascii="Arial" w:hAnsi="Arial" w:cs="Arial"/>
          <w:b/>
          <w:bCs/>
          <w:sz w:val="24"/>
          <w:u w:val="single"/>
        </w:rPr>
        <w:t>Payment in Respect of Service Charges</w:t>
      </w:r>
    </w:p>
    <w:p w14:paraId="37C05A94" w14:textId="77777777" w:rsidR="000653E7" w:rsidRPr="00C13BA0" w:rsidRDefault="000653E7" w:rsidP="00C13BA0">
      <w:pPr>
        <w:ind w:left="2977" w:right="555"/>
        <w:rPr>
          <w:rFonts w:ascii="Arial" w:hAnsi="Arial" w:cs="Arial"/>
          <w:b/>
          <w:bCs/>
          <w:sz w:val="24"/>
          <w:u w:val="single"/>
        </w:rPr>
      </w:pPr>
    </w:p>
    <w:p w14:paraId="56BF6A06" w14:textId="7D7CFFD7" w:rsidR="00C13BA0" w:rsidRDefault="000653E7" w:rsidP="00C77085">
      <w:pPr>
        <w:numPr>
          <w:ilvl w:val="0"/>
          <w:numId w:val="3"/>
        </w:numPr>
        <w:ind w:right="555"/>
        <w:rPr>
          <w:rFonts w:ascii="Arial" w:hAnsi="Arial" w:cs="Arial"/>
          <w:sz w:val="24"/>
        </w:rPr>
      </w:pPr>
      <w:r w:rsidRPr="000653E7">
        <w:rPr>
          <w:rFonts w:ascii="Arial" w:hAnsi="Arial" w:cs="Arial"/>
          <w:sz w:val="24"/>
        </w:rPr>
        <w:lastRenderedPageBreak/>
        <w:t>I</w:t>
      </w:r>
      <w:r>
        <w:rPr>
          <w:rFonts w:ascii="Arial" w:hAnsi="Arial" w:cs="Arial"/>
          <w:sz w:val="24"/>
        </w:rPr>
        <w:t xml:space="preserve"> concede that notwithstanding Johnson paragraph 3(5) of </w:t>
      </w:r>
      <w:r w:rsidR="00492AC8">
        <w:rPr>
          <w:rFonts w:ascii="Arial" w:hAnsi="Arial" w:cs="Arial"/>
          <w:sz w:val="24"/>
        </w:rPr>
        <w:t>Schedule 5 would otherwise apply.</w:t>
      </w:r>
    </w:p>
    <w:p w14:paraId="3F6FDBE8" w14:textId="77777777" w:rsidR="00492AC8" w:rsidRDefault="00492AC8" w:rsidP="00492AC8">
      <w:pPr>
        <w:ind w:left="720" w:right="555"/>
        <w:rPr>
          <w:rFonts w:ascii="Arial" w:hAnsi="Arial" w:cs="Arial"/>
          <w:sz w:val="24"/>
        </w:rPr>
      </w:pPr>
    </w:p>
    <w:p w14:paraId="522F592D" w14:textId="0A703DFC" w:rsidR="00492AC8" w:rsidRDefault="00492AC8" w:rsidP="00C77085">
      <w:pPr>
        <w:numPr>
          <w:ilvl w:val="0"/>
          <w:numId w:val="3"/>
        </w:numPr>
        <w:ind w:right="555"/>
        <w:rPr>
          <w:rFonts w:ascii="Arial" w:hAnsi="Arial" w:cs="Arial"/>
          <w:sz w:val="24"/>
        </w:rPr>
      </w:pPr>
      <w:r>
        <w:rPr>
          <w:rFonts w:ascii="Arial" w:hAnsi="Arial" w:cs="Arial"/>
          <w:sz w:val="24"/>
        </w:rPr>
        <w:t xml:space="preserve">I have attached a copy of an email that Ms </w:t>
      </w:r>
      <w:r w:rsidR="00D66E9C">
        <w:rPr>
          <w:rFonts w:ascii="Arial" w:hAnsi="Arial" w:cs="Arial"/>
          <w:sz w:val="24"/>
        </w:rPr>
        <w:t>X</w:t>
      </w:r>
      <w:r>
        <w:rPr>
          <w:rFonts w:ascii="Arial" w:hAnsi="Arial" w:cs="Arial"/>
          <w:sz w:val="24"/>
        </w:rPr>
        <w:t xml:space="preserve"> received from Manpower detailing payments that were made to her and the periods to which they related.</w:t>
      </w:r>
    </w:p>
    <w:p w14:paraId="613A96EB" w14:textId="77777777" w:rsidR="00492AC8" w:rsidRDefault="00492AC8" w:rsidP="00492AC8">
      <w:pPr>
        <w:pStyle w:val="ListParagraph"/>
        <w:rPr>
          <w:rFonts w:ascii="Arial" w:hAnsi="Arial" w:cs="Arial"/>
          <w:sz w:val="24"/>
        </w:rPr>
      </w:pPr>
    </w:p>
    <w:p w14:paraId="48FB06A4" w14:textId="56FD997C" w:rsidR="00492AC8" w:rsidRPr="005607AB" w:rsidRDefault="00492AC8" w:rsidP="00C77085">
      <w:pPr>
        <w:numPr>
          <w:ilvl w:val="0"/>
          <w:numId w:val="3"/>
        </w:numPr>
        <w:ind w:right="555"/>
        <w:rPr>
          <w:rFonts w:ascii="Arial" w:hAnsi="Arial" w:cs="Arial"/>
          <w:sz w:val="24"/>
        </w:rPr>
      </w:pPr>
      <w:r>
        <w:rPr>
          <w:rFonts w:ascii="Arial" w:hAnsi="Arial" w:cs="Arial"/>
          <w:sz w:val="24"/>
        </w:rPr>
        <w:t xml:space="preserve">Ms </w:t>
      </w:r>
      <w:r w:rsidR="00D66E9C">
        <w:rPr>
          <w:rFonts w:ascii="Arial" w:hAnsi="Arial" w:cs="Arial"/>
          <w:sz w:val="24"/>
        </w:rPr>
        <w:t>X</w:t>
      </w:r>
      <w:r>
        <w:rPr>
          <w:rFonts w:ascii="Arial" w:hAnsi="Arial" w:cs="Arial"/>
          <w:sz w:val="24"/>
        </w:rPr>
        <w:t xml:space="preserve"> has not worked for Manpower since November 2019</w:t>
      </w:r>
      <w:r w:rsidR="005607AB">
        <w:rPr>
          <w:rFonts w:ascii="Arial" w:hAnsi="Arial" w:cs="Arial"/>
          <w:sz w:val="24"/>
        </w:rPr>
        <w:t xml:space="preserve">, and </w:t>
      </w:r>
      <w:r w:rsidR="002542DF">
        <w:rPr>
          <w:rFonts w:ascii="Arial" w:hAnsi="Arial" w:cs="Arial"/>
          <w:sz w:val="24"/>
        </w:rPr>
        <w:t>t</w:t>
      </w:r>
      <w:r>
        <w:rPr>
          <w:rFonts w:ascii="Arial" w:hAnsi="Arial" w:cs="Arial"/>
          <w:sz w:val="24"/>
        </w:rPr>
        <w:t xml:space="preserve">he Respondent </w:t>
      </w:r>
      <w:r w:rsidR="004C1212">
        <w:rPr>
          <w:rFonts w:ascii="Arial" w:hAnsi="Arial" w:cs="Arial"/>
          <w:sz w:val="24"/>
        </w:rPr>
        <w:t>concedes that</w:t>
      </w:r>
      <w:r>
        <w:rPr>
          <w:rFonts w:ascii="Arial" w:hAnsi="Arial" w:cs="Arial"/>
          <w:sz w:val="24"/>
        </w:rPr>
        <w:t xml:space="preserve"> </w:t>
      </w:r>
      <w:r w:rsidR="005607AB">
        <w:rPr>
          <w:rFonts w:ascii="Arial" w:hAnsi="Arial" w:cs="Arial"/>
          <w:sz w:val="24"/>
        </w:rPr>
        <w:t xml:space="preserve">Ms </w:t>
      </w:r>
      <w:r w:rsidR="00D66E9C">
        <w:rPr>
          <w:rFonts w:ascii="Arial" w:hAnsi="Arial" w:cs="Arial"/>
          <w:sz w:val="24"/>
        </w:rPr>
        <w:t>X</w:t>
      </w:r>
      <w:r>
        <w:rPr>
          <w:rFonts w:ascii="Arial" w:hAnsi="Arial" w:cs="Arial"/>
          <w:sz w:val="24"/>
        </w:rPr>
        <w:t xml:space="preserve"> was entitled to ESA from 8 November 2019 </w:t>
      </w:r>
      <w:r w:rsidRPr="005607AB">
        <w:rPr>
          <w:rFonts w:ascii="Arial" w:hAnsi="Arial" w:cs="Arial"/>
          <w:b/>
          <w:bCs/>
          <w:sz w:val="24"/>
        </w:rPr>
        <w:t>(S4(6)</w:t>
      </w:r>
      <w:r w:rsidR="005607AB" w:rsidRPr="005607AB">
        <w:rPr>
          <w:rFonts w:ascii="Arial" w:hAnsi="Arial" w:cs="Arial"/>
          <w:b/>
          <w:bCs/>
          <w:sz w:val="24"/>
        </w:rPr>
        <w:t xml:space="preserve"> page C original Response)</w:t>
      </w:r>
    </w:p>
    <w:p w14:paraId="3AF3A3CC" w14:textId="77777777" w:rsidR="005607AB" w:rsidRDefault="005607AB" w:rsidP="005607AB">
      <w:pPr>
        <w:pStyle w:val="ListParagraph"/>
        <w:rPr>
          <w:rFonts w:ascii="Arial" w:hAnsi="Arial" w:cs="Arial"/>
          <w:sz w:val="24"/>
        </w:rPr>
      </w:pPr>
    </w:p>
    <w:p w14:paraId="37FB3381" w14:textId="168D1D8F" w:rsidR="005607AB" w:rsidRDefault="005607AB" w:rsidP="00C77085">
      <w:pPr>
        <w:numPr>
          <w:ilvl w:val="0"/>
          <w:numId w:val="3"/>
        </w:numPr>
        <w:ind w:right="555"/>
        <w:rPr>
          <w:rFonts w:ascii="Arial" w:hAnsi="Arial" w:cs="Arial"/>
          <w:sz w:val="24"/>
        </w:rPr>
      </w:pPr>
      <w:r>
        <w:rPr>
          <w:rFonts w:ascii="Arial" w:hAnsi="Arial" w:cs="Arial"/>
          <w:sz w:val="24"/>
        </w:rPr>
        <w:t>Paragraph 6 of Sch. 5 UC Regs provides.</w:t>
      </w:r>
    </w:p>
    <w:p w14:paraId="0214EC7F" w14:textId="77777777" w:rsidR="005607AB" w:rsidRDefault="005607AB" w:rsidP="005607AB">
      <w:pPr>
        <w:pStyle w:val="ListParagraph"/>
        <w:rPr>
          <w:rFonts w:ascii="Arial" w:hAnsi="Arial" w:cs="Arial"/>
          <w:sz w:val="24"/>
        </w:rPr>
      </w:pPr>
    </w:p>
    <w:p w14:paraId="294508E6" w14:textId="48868E94" w:rsidR="005607AB" w:rsidRDefault="005607AB" w:rsidP="005607AB">
      <w:pPr>
        <w:ind w:left="1701" w:right="555"/>
        <w:rPr>
          <w:rFonts w:ascii="Arial" w:hAnsi="Arial" w:cs="Arial"/>
          <w:b/>
          <w:bCs/>
          <w:sz w:val="24"/>
        </w:rPr>
      </w:pPr>
      <w:r w:rsidRPr="005607AB">
        <w:rPr>
          <w:rFonts w:ascii="Arial" w:hAnsi="Arial" w:cs="Arial"/>
          <w:b/>
          <w:bCs/>
          <w:sz w:val="24"/>
        </w:rPr>
        <w:t>Application of paragraph 5: receipt of JSA and ESA</w:t>
      </w:r>
    </w:p>
    <w:p w14:paraId="6D189EBA" w14:textId="77777777" w:rsidR="005607AB" w:rsidRPr="005607AB" w:rsidRDefault="005607AB" w:rsidP="005607AB">
      <w:pPr>
        <w:ind w:left="1701" w:right="555"/>
        <w:rPr>
          <w:rFonts w:ascii="Arial" w:hAnsi="Arial" w:cs="Arial"/>
          <w:b/>
          <w:bCs/>
          <w:sz w:val="24"/>
        </w:rPr>
      </w:pPr>
    </w:p>
    <w:p w14:paraId="58733A24" w14:textId="3E48EF02" w:rsidR="005607AB" w:rsidRDefault="005607AB" w:rsidP="005607AB">
      <w:pPr>
        <w:ind w:left="1701" w:right="555"/>
        <w:rPr>
          <w:rFonts w:ascii="Arial" w:hAnsi="Arial" w:cs="Arial"/>
          <w:sz w:val="24"/>
        </w:rPr>
      </w:pPr>
      <w:r w:rsidRPr="005607AB">
        <w:rPr>
          <w:rFonts w:ascii="Arial" w:hAnsi="Arial" w:cs="Arial"/>
          <w:sz w:val="24"/>
        </w:rPr>
        <w:t>6.</w:t>
      </w:r>
      <w:proofErr w:type="gramStart"/>
      <w:r w:rsidRPr="005607AB">
        <w:rPr>
          <w:rFonts w:ascii="Arial" w:hAnsi="Arial" w:cs="Arial"/>
          <w:sz w:val="24"/>
        </w:rPr>
        <w:t>—(</w:t>
      </w:r>
      <w:proofErr w:type="gramEnd"/>
      <w:r w:rsidRPr="005607AB">
        <w:rPr>
          <w:rFonts w:ascii="Arial" w:hAnsi="Arial" w:cs="Arial"/>
          <w:sz w:val="24"/>
        </w:rPr>
        <w:t>1) This paragraph applies to any owner-occupier who immediately before the</w:t>
      </w:r>
      <w:r>
        <w:rPr>
          <w:rFonts w:ascii="Arial" w:hAnsi="Arial" w:cs="Arial"/>
          <w:sz w:val="24"/>
        </w:rPr>
        <w:t xml:space="preserve"> </w:t>
      </w:r>
      <w:r w:rsidRPr="005607AB">
        <w:rPr>
          <w:rFonts w:ascii="Arial" w:hAnsi="Arial" w:cs="Arial"/>
          <w:sz w:val="24"/>
        </w:rPr>
        <w:t>commencement of an award of universal credit is entitled to—</w:t>
      </w:r>
    </w:p>
    <w:p w14:paraId="0F05FA8B" w14:textId="77777777" w:rsidR="005607AB" w:rsidRPr="005607AB" w:rsidRDefault="005607AB" w:rsidP="005607AB">
      <w:pPr>
        <w:ind w:left="1701" w:right="555"/>
        <w:rPr>
          <w:rFonts w:ascii="Arial" w:hAnsi="Arial" w:cs="Arial"/>
          <w:sz w:val="24"/>
        </w:rPr>
      </w:pPr>
    </w:p>
    <w:p w14:paraId="73C75114" w14:textId="2C87ED4D" w:rsidR="005607AB" w:rsidRDefault="005607AB" w:rsidP="005607AB">
      <w:pPr>
        <w:ind w:left="1701" w:right="555"/>
        <w:rPr>
          <w:rFonts w:ascii="Arial" w:hAnsi="Arial" w:cs="Arial"/>
          <w:sz w:val="24"/>
        </w:rPr>
      </w:pPr>
      <w:r w:rsidRPr="005607AB">
        <w:rPr>
          <w:rFonts w:ascii="Arial" w:hAnsi="Arial" w:cs="Arial"/>
          <w:sz w:val="24"/>
        </w:rPr>
        <w:t>(a)a jobseeker's allowance; or</w:t>
      </w:r>
    </w:p>
    <w:p w14:paraId="75A77637" w14:textId="77777777" w:rsidR="005607AB" w:rsidRPr="005607AB" w:rsidRDefault="005607AB" w:rsidP="005607AB">
      <w:pPr>
        <w:ind w:left="1701" w:right="555"/>
        <w:rPr>
          <w:rFonts w:ascii="Arial" w:hAnsi="Arial" w:cs="Arial"/>
          <w:sz w:val="24"/>
        </w:rPr>
      </w:pPr>
    </w:p>
    <w:p w14:paraId="4BE636FF" w14:textId="2476B5F6" w:rsidR="005607AB" w:rsidRDefault="005607AB" w:rsidP="005607AB">
      <w:pPr>
        <w:ind w:left="1701" w:right="555"/>
        <w:rPr>
          <w:rFonts w:ascii="Arial" w:hAnsi="Arial" w:cs="Arial"/>
          <w:sz w:val="24"/>
        </w:rPr>
      </w:pPr>
      <w:r w:rsidRPr="005607AB">
        <w:rPr>
          <w:rFonts w:ascii="Arial" w:hAnsi="Arial" w:cs="Arial"/>
          <w:sz w:val="24"/>
        </w:rPr>
        <w:t>(b)an employment and support allowance.</w:t>
      </w:r>
    </w:p>
    <w:p w14:paraId="792F598F" w14:textId="77777777" w:rsidR="005607AB" w:rsidRPr="005607AB" w:rsidRDefault="005607AB" w:rsidP="005607AB">
      <w:pPr>
        <w:ind w:left="1701" w:right="555"/>
        <w:rPr>
          <w:rFonts w:ascii="Arial" w:hAnsi="Arial" w:cs="Arial"/>
          <w:sz w:val="24"/>
        </w:rPr>
      </w:pPr>
    </w:p>
    <w:p w14:paraId="3CC8E563" w14:textId="14C9B994" w:rsidR="005607AB" w:rsidRDefault="005607AB" w:rsidP="005607AB">
      <w:pPr>
        <w:ind w:left="1701" w:right="555"/>
        <w:rPr>
          <w:rFonts w:ascii="Arial" w:hAnsi="Arial" w:cs="Arial"/>
          <w:sz w:val="24"/>
        </w:rPr>
      </w:pPr>
      <w:r w:rsidRPr="005607AB">
        <w:rPr>
          <w:rFonts w:ascii="Arial" w:hAnsi="Arial" w:cs="Arial"/>
          <w:sz w:val="24"/>
        </w:rPr>
        <w:t>(2) In determining when the qualifying period in paragraph 5 ends in relation to the owner-occupier, any period that comprises only days on which the owner-occupier was receiving a benefit</w:t>
      </w:r>
      <w:r>
        <w:rPr>
          <w:rFonts w:ascii="Arial" w:hAnsi="Arial" w:cs="Arial"/>
          <w:sz w:val="24"/>
        </w:rPr>
        <w:t xml:space="preserve"> </w:t>
      </w:r>
      <w:r w:rsidRPr="005607AB">
        <w:rPr>
          <w:rFonts w:ascii="Arial" w:hAnsi="Arial" w:cs="Arial"/>
          <w:sz w:val="24"/>
        </w:rPr>
        <w:t>referred to in sub-paragraph (1) may be treated as if it were the whole or part of one or more</w:t>
      </w:r>
      <w:r>
        <w:rPr>
          <w:rFonts w:ascii="Arial" w:hAnsi="Arial" w:cs="Arial"/>
          <w:sz w:val="24"/>
        </w:rPr>
        <w:t xml:space="preserve"> </w:t>
      </w:r>
      <w:r w:rsidRPr="005607AB">
        <w:rPr>
          <w:rFonts w:ascii="Arial" w:hAnsi="Arial" w:cs="Arial"/>
          <w:sz w:val="24"/>
        </w:rPr>
        <w:t>assessment periods, as determined by the number of days on which any such benefit was received.</w:t>
      </w:r>
    </w:p>
    <w:p w14:paraId="54CBAB90" w14:textId="77777777" w:rsidR="005607AB" w:rsidRDefault="005607AB" w:rsidP="005607AB">
      <w:pPr>
        <w:ind w:left="720" w:right="555"/>
        <w:rPr>
          <w:rFonts w:ascii="Arial" w:hAnsi="Arial" w:cs="Arial"/>
          <w:sz w:val="24"/>
        </w:rPr>
      </w:pPr>
    </w:p>
    <w:p w14:paraId="7F9E0539" w14:textId="51B1A296" w:rsidR="005607AB" w:rsidRDefault="005607AB" w:rsidP="00942A18">
      <w:pPr>
        <w:pStyle w:val="ListParagraph"/>
        <w:numPr>
          <w:ilvl w:val="1"/>
          <w:numId w:val="3"/>
        </w:numPr>
        <w:rPr>
          <w:rFonts w:ascii="Arial" w:hAnsi="Arial" w:cs="Arial"/>
          <w:sz w:val="24"/>
        </w:rPr>
      </w:pPr>
      <w:r>
        <w:rPr>
          <w:rFonts w:ascii="Arial" w:hAnsi="Arial" w:cs="Arial"/>
          <w:sz w:val="24"/>
        </w:rPr>
        <w:t xml:space="preserve">The start of the qualifying period in so far </w:t>
      </w:r>
      <w:r w:rsidR="00942A18">
        <w:rPr>
          <w:rFonts w:ascii="Arial" w:hAnsi="Arial" w:cs="Arial"/>
          <w:sz w:val="24"/>
        </w:rPr>
        <w:t xml:space="preserve">as it relates to service charges would therefore otherwise be 8 November 2019 and Ms </w:t>
      </w:r>
      <w:r w:rsidR="00D66E9C">
        <w:rPr>
          <w:rFonts w:ascii="Arial" w:hAnsi="Arial" w:cs="Arial"/>
          <w:sz w:val="24"/>
        </w:rPr>
        <w:t>X</w:t>
      </w:r>
      <w:r w:rsidR="00942A18">
        <w:rPr>
          <w:rFonts w:ascii="Arial" w:hAnsi="Arial" w:cs="Arial"/>
          <w:sz w:val="24"/>
        </w:rPr>
        <w:t xml:space="preserve"> would consequently be entitled to payment of UC housing cost in respect of service charges from </w:t>
      </w:r>
      <w:r w:rsidR="00942A18" w:rsidRPr="00942A18">
        <w:rPr>
          <w:rFonts w:ascii="Arial" w:hAnsi="Arial" w:cs="Arial"/>
          <w:b/>
          <w:bCs/>
          <w:sz w:val="24"/>
          <w:u w:val="single"/>
        </w:rPr>
        <w:t>8 August 2020</w:t>
      </w:r>
      <w:r w:rsidR="00942A18">
        <w:rPr>
          <w:rFonts w:ascii="Arial" w:hAnsi="Arial" w:cs="Arial"/>
          <w:sz w:val="24"/>
        </w:rPr>
        <w:t xml:space="preserve"> if paragraph 5(3) of </w:t>
      </w:r>
      <w:proofErr w:type="spellStart"/>
      <w:r w:rsidR="00942A18">
        <w:rPr>
          <w:rFonts w:ascii="Arial" w:hAnsi="Arial" w:cs="Arial"/>
          <w:sz w:val="24"/>
        </w:rPr>
        <w:t>Sch</w:t>
      </w:r>
      <w:proofErr w:type="spellEnd"/>
      <w:r w:rsidR="00942A18">
        <w:rPr>
          <w:rFonts w:ascii="Arial" w:hAnsi="Arial" w:cs="Arial"/>
          <w:sz w:val="24"/>
        </w:rPr>
        <w:t xml:space="preserve"> 5 can be disapplied.</w:t>
      </w:r>
      <w:r w:rsidR="002542DF">
        <w:rPr>
          <w:rFonts w:ascii="Arial" w:hAnsi="Arial" w:cs="Arial"/>
          <w:sz w:val="24"/>
        </w:rPr>
        <w:t xml:space="preserve"> (</w:t>
      </w:r>
      <w:r w:rsidR="002542DF" w:rsidRPr="002542DF">
        <w:rPr>
          <w:rFonts w:ascii="Arial" w:hAnsi="Arial" w:cs="Arial"/>
          <w:i/>
          <w:iCs/>
          <w:sz w:val="24"/>
        </w:rPr>
        <w:t>It is arguable as outlined at [2]</w:t>
      </w:r>
      <w:proofErr w:type="gramStart"/>
      <w:r w:rsidR="002542DF" w:rsidRPr="002542DF">
        <w:rPr>
          <w:rFonts w:ascii="Arial" w:hAnsi="Arial" w:cs="Arial"/>
          <w:i/>
          <w:iCs/>
          <w:sz w:val="24"/>
        </w:rPr>
        <w:t>-[</w:t>
      </w:r>
      <w:proofErr w:type="gramEnd"/>
      <w:r w:rsidR="002542DF" w:rsidRPr="002542DF">
        <w:rPr>
          <w:rFonts w:ascii="Arial" w:hAnsi="Arial" w:cs="Arial"/>
          <w:i/>
          <w:iCs/>
          <w:sz w:val="24"/>
        </w:rPr>
        <w:t>4.3</w:t>
      </w:r>
      <w:r w:rsidR="002542DF">
        <w:rPr>
          <w:rFonts w:ascii="Arial" w:hAnsi="Arial" w:cs="Arial"/>
          <w:i/>
          <w:iCs/>
          <w:sz w:val="24"/>
        </w:rPr>
        <w:t>]</w:t>
      </w:r>
      <w:r w:rsidR="002542DF" w:rsidRPr="002542DF">
        <w:rPr>
          <w:rFonts w:ascii="Arial" w:hAnsi="Arial" w:cs="Arial"/>
          <w:i/>
          <w:iCs/>
          <w:sz w:val="24"/>
        </w:rPr>
        <w:t xml:space="preserve"> above</w:t>
      </w:r>
      <w:r w:rsidR="00C83FE9">
        <w:rPr>
          <w:rFonts w:ascii="Arial" w:hAnsi="Arial" w:cs="Arial"/>
          <w:i/>
          <w:iCs/>
          <w:sz w:val="24"/>
        </w:rPr>
        <w:t xml:space="preserve"> and for the reasons outlined below </w:t>
      </w:r>
      <w:r w:rsidR="002542DF" w:rsidRPr="002542DF">
        <w:rPr>
          <w:rFonts w:ascii="Arial" w:hAnsi="Arial" w:cs="Arial"/>
          <w:i/>
          <w:iCs/>
          <w:sz w:val="24"/>
        </w:rPr>
        <w:t xml:space="preserve"> that paragraph 5(3) should be disapplied</w:t>
      </w:r>
      <w:r w:rsidR="002542DF">
        <w:rPr>
          <w:rFonts w:ascii="Arial" w:hAnsi="Arial" w:cs="Arial"/>
          <w:sz w:val="24"/>
        </w:rPr>
        <w:t>)</w:t>
      </w:r>
    </w:p>
    <w:p w14:paraId="2909AFD2" w14:textId="77777777" w:rsidR="00942A18" w:rsidRDefault="00942A18" w:rsidP="00942A18">
      <w:pPr>
        <w:pStyle w:val="ListParagraph"/>
        <w:ind w:left="1069"/>
        <w:rPr>
          <w:rFonts w:ascii="Arial" w:hAnsi="Arial" w:cs="Arial"/>
          <w:sz w:val="24"/>
        </w:rPr>
      </w:pPr>
    </w:p>
    <w:p w14:paraId="39F4CE60" w14:textId="5132D65C" w:rsidR="005607AB" w:rsidRPr="00686C6C" w:rsidRDefault="00942A18" w:rsidP="001A7E97">
      <w:pPr>
        <w:numPr>
          <w:ilvl w:val="0"/>
          <w:numId w:val="3"/>
        </w:numPr>
        <w:ind w:right="555"/>
        <w:rPr>
          <w:rFonts w:ascii="Arial" w:hAnsi="Arial" w:cs="Arial"/>
          <w:sz w:val="24"/>
        </w:rPr>
      </w:pPr>
      <w:r w:rsidRPr="00686C6C">
        <w:rPr>
          <w:rFonts w:ascii="Arial" w:hAnsi="Arial" w:cs="Arial"/>
          <w:sz w:val="24"/>
        </w:rPr>
        <w:t xml:space="preserve">I am aware </w:t>
      </w:r>
      <w:r w:rsidR="001F3511" w:rsidRPr="00686C6C">
        <w:rPr>
          <w:rFonts w:ascii="Arial" w:hAnsi="Arial" w:cs="Arial"/>
          <w:sz w:val="24"/>
        </w:rPr>
        <w:t xml:space="preserve">that </w:t>
      </w:r>
      <w:r w:rsidR="004C1212">
        <w:rPr>
          <w:rFonts w:ascii="Arial" w:hAnsi="Arial" w:cs="Arial"/>
          <w:sz w:val="24"/>
        </w:rPr>
        <w:t xml:space="preserve">in </w:t>
      </w:r>
      <w:r w:rsidR="004C1212" w:rsidRPr="00686C6C">
        <w:rPr>
          <w:rFonts w:ascii="Arial" w:hAnsi="Arial" w:cs="Arial"/>
          <w:sz w:val="24"/>
        </w:rPr>
        <w:t>PT</w:t>
      </w:r>
      <w:r w:rsidR="00686C6C" w:rsidRPr="00686C6C">
        <w:rPr>
          <w:rFonts w:ascii="Arial" w:hAnsi="Arial" w:cs="Arial"/>
          <w:sz w:val="24"/>
        </w:rPr>
        <w:t xml:space="preserve"> V SECRETARY OF STATE FOR WORK AND PENSIONS</w:t>
      </w:r>
      <w:r w:rsidR="00686C6C">
        <w:rPr>
          <w:rFonts w:ascii="Arial" w:hAnsi="Arial" w:cs="Arial"/>
          <w:sz w:val="24"/>
        </w:rPr>
        <w:t xml:space="preserve"> </w:t>
      </w:r>
      <w:r w:rsidR="00686C6C" w:rsidRPr="00686C6C">
        <w:rPr>
          <w:rFonts w:ascii="Arial" w:hAnsi="Arial" w:cs="Arial"/>
          <w:sz w:val="24"/>
        </w:rPr>
        <w:t>[2015] UKUT 0696 (</w:t>
      </w:r>
      <w:r w:rsidR="004C1212" w:rsidRPr="00686C6C">
        <w:rPr>
          <w:rFonts w:ascii="Arial" w:hAnsi="Arial" w:cs="Arial"/>
          <w:sz w:val="24"/>
        </w:rPr>
        <w:t>AAC)</w:t>
      </w:r>
      <w:r w:rsidR="004C1212" w:rsidRPr="004C1212">
        <w:t xml:space="preserve"> </w:t>
      </w:r>
      <w:r w:rsidR="004C1212" w:rsidRPr="004C1212">
        <w:rPr>
          <w:rFonts w:ascii="Arial" w:hAnsi="Arial" w:cs="Arial"/>
          <w:sz w:val="24"/>
        </w:rPr>
        <w:t>Judge Jacobs</w:t>
      </w:r>
      <w:r w:rsidR="004C1212">
        <w:rPr>
          <w:rFonts w:ascii="Arial" w:hAnsi="Arial" w:cs="Arial"/>
          <w:sz w:val="24"/>
        </w:rPr>
        <w:t xml:space="preserve"> held</w:t>
      </w:r>
      <w:r w:rsidR="00686C6C">
        <w:rPr>
          <w:rFonts w:ascii="Arial" w:hAnsi="Arial" w:cs="Arial"/>
          <w:sz w:val="24"/>
        </w:rPr>
        <w:t xml:space="preserve"> at [11] </w:t>
      </w:r>
    </w:p>
    <w:p w14:paraId="52BEC6BC" w14:textId="77777777" w:rsidR="00B26A7B" w:rsidRPr="009A7BA0" w:rsidRDefault="00B26A7B" w:rsidP="00B26A7B">
      <w:pPr>
        <w:pStyle w:val="ListParagraph"/>
        <w:rPr>
          <w:rFonts w:ascii="Arial" w:hAnsi="Arial" w:cs="Arial"/>
          <w:b/>
          <w:bCs/>
          <w:sz w:val="24"/>
        </w:rPr>
      </w:pPr>
    </w:p>
    <w:p w14:paraId="2E7C0955" w14:textId="4ED37D3C" w:rsidR="00686C6C" w:rsidRPr="00686C6C" w:rsidRDefault="00B26A7B" w:rsidP="00686C6C">
      <w:pPr>
        <w:ind w:left="1701" w:right="555"/>
        <w:rPr>
          <w:rFonts w:ascii="Arial" w:hAnsi="Arial" w:cs="Arial"/>
          <w:sz w:val="24"/>
        </w:rPr>
      </w:pPr>
      <w:r>
        <w:rPr>
          <w:rFonts w:ascii="Arial" w:hAnsi="Arial" w:cs="Arial"/>
          <w:sz w:val="24"/>
        </w:rPr>
        <w:t xml:space="preserve"> </w:t>
      </w:r>
      <w:r w:rsidR="00686C6C" w:rsidRPr="00686C6C">
        <w:rPr>
          <w:rFonts w:ascii="Arial" w:hAnsi="Arial" w:cs="Arial"/>
          <w:sz w:val="24"/>
        </w:rPr>
        <w:t>11. The third question is whether the money in question was received during</w:t>
      </w:r>
      <w:r w:rsidR="00686C6C">
        <w:rPr>
          <w:rFonts w:ascii="Arial" w:hAnsi="Arial" w:cs="Arial"/>
          <w:sz w:val="24"/>
        </w:rPr>
        <w:t xml:space="preserve"> </w:t>
      </w:r>
      <w:r w:rsidR="00686C6C" w:rsidRPr="00686C6C">
        <w:rPr>
          <w:rFonts w:ascii="Arial" w:hAnsi="Arial" w:cs="Arial"/>
          <w:sz w:val="24"/>
        </w:rPr>
        <w:t>the assessment period. Despite the claimant’s attempts to argue otherwise, it</w:t>
      </w:r>
      <w:r w:rsidR="00686C6C">
        <w:rPr>
          <w:rFonts w:ascii="Arial" w:hAnsi="Arial" w:cs="Arial"/>
          <w:sz w:val="24"/>
        </w:rPr>
        <w:t xml:space="preserve"> </w:t>
      </w:r>
      <w:r w:rsidR="00686C6C" w:rsidRPr="00686C6C">
        <w:rPr>
          <w:rFonts w:ascii="Arial" w:hAnsi="Arial" w:cs="Arial"/>
          <w:sz w:val="24"/>
        </w:rPr>
        <w:t>clearly was. It was money received in that period, even if it was earned earlier.</w:t>
      </w:r>
    </w:p>
    <w:p w14:paraId="7A14A97F" w14:textId="3C2C9BDB" w:rsidR="00686C6C" w:rsidRPr="00686C6C" w:rsidRDefault="00686C6C" w:rsidP="00686C6C">
      <w:pPr>
        <w:ind w:left="1701" w:right="555"/>
        <w:rPr>
          <w:rFonts w:ascii="Arial" w:hAnsi="Arial" w:cs="Arial"/>
          <w:sz w:val="24"/>
        </w:rPr>
      </w:pPr>
      <w:r w:rsidRPr="00686C6C">
        <w:rPr>
          <w:rFonts w:ascii="Arial" w:hAnsi="Arial" w:cs="Arial"/>
          <w:sz w:val="24"/>
        </w:rPr>
        <w:t>As such, it was part of the claimant’s earned income (regulation 54(1)). It does</w:t>
      </w:r>
      <w:r>
        <w:rPr>
          <w:rFonts w:ascii="Arial" w:hAnsi="Arial" w:cs="Arial"/>
          <w:sz w:val="24"/>
        </w:rPr>
        <w:t xml:space="preserve"> </w:t>
      </w:r>
      <w:r w:rsidRPr="00686C6C">
        <w:rPr>
          <w:rFonts w:ascii="Arial" w:hAnsi="Arial" w:cs="Arial"/>
          <w:sz w:val="24"/>
        </w:rPr>
        <w:t>not matter that the employment from which it was derived had ceased to exist by</w:t>
      </w:r>
      <w:r>
        <w:rPr>
          <w:rFonts w:ascii="Arial" w:hAnsi="Arial" w:cs="Arial"/>
          <w:sz w:val="24"/>
        </w:rPr>
        <w:t xml:space="preserve"> </w:t>
      </w:r>
      <w:r w:rsidRPr="00686C6C">
        <w:rPr>
          <w:rFonts w:ascii="Arial" w:hAnsi="Arial" w:cs="Arial"/>
          <w:sz w:val="24"/>
        </w:rPr>
        <w:t>the time of payment. The contract of employment remained in force, although the</w:t>
      </w:r>
    </w:p>
    <w:p w14:paraId="7CFC5502" w14:textId="7A3A4314" w:rsidR="00686C6C" w:rsidRPr="00686C6C" w:rsidRDefault="00686C6C" w:rsidP="00686C6C">
      <w:pPr>
        <w:ind w:right="555"/>
        <w:rPr>
          <w:rFonts w:ascii="Arial" w:hAnsi="Arial" w:cs="Arial"/>
          <w:sz w:val="24"/>
        </w:rPr>
      </w:pPr>
    </w:p>
    <w:p w14:paraId="718C27C4" w14:textId="4A7CC372" w:rsidR="00686C6C" w:rsidRPr="00686C6C" w:rsidRDefault="00686C6C" w:rsidP="00686C6C">
      <w:pPr>
        <w:ind w:left="1701" w:right="555"/>
        <w:rPr>
          <w:rFonts w:ascii="Arial" w:hAnsi="Arial" w:cs="Arial"/>
          <w:sz w:val="24"/>
        </w:rPr>
      </w:pPr>
      <w:r w:rsidRPr="00686C6C">
        <w:rPr>
          <w:rFonts w:ascii="Arial" w:hAnsi="Arial" w:cs="Arial"/>
          <w:sz w:val="24"/>
        </w:rPr>
        <w:lastRenderedPageBreak/>
        <w:t>claimant had completed his performance under it, and the claimant could, if</w:t>
      </w:r>
      <w:r>
        <w:rPr>
          <w:rFonts w:ascii="Arial" w:hAnsi="Arial" w:cs="Arial"/>
          <w:sz w:val="24"/>
        </w:rPr>
        <w:t xml:space="preserve"> </w:t>
      </w:r>
      <w:r w:rsidRPr="00686C6C">
        <w:rPr>
          <w:rFonts w:ascii="Arial" w:hAnsi="Arial" w:cs="Arial"/>
          <w:sz w:val="24"/>
        </w:rPr>
        <w:t>necessary, have sued on it for his outstanding wages. This was in principle no</w:t>
      </w:r>
      <w:r>
        <w:rPr>
          <w:rFonts w:ascii="Arial" w:hAnsi="Arial" w:cs="Arial"/>
          <w:sz w:val="24"/>
        </w:rPr>
        <w:t xml:space="preserve"> </w:t>
      </w:r>
      <w:r w:rsidRPr="00686C6C">
        <w:rPr>
          <w:rFonts w:ascii="Arial" w:hAnsi="Arial" w:cs="Arial"/>
          <w:sz w:val="24"/>
        </w:rPr>
        <w:t xml:space="preserve">different from the usual arrangement whereby wages are paid after the period </w:t>
      </w:r>
      <w:proofErr w:type="gramStart"/>
      <w:r w:rsidRPr="00686C6C">
        <w:rPr>
          <w:rFonts w:ascii="Arial" w:hAnsi="Arial" w:cs="Arial"/>
          <w:sz w:val="24"/>
        </w:rPr>
        <w:t>in</w:t>
      </w:r>
      <w:proofErr w:type="gramEnd"/>
    </w:p>
    <w:p w14:paraId="737F3F71" w14:textId="715A20E6" w:rsidR="00B26A7B" w:rsidRDefault="00686C6C" w:rsidP="00686C6C">
      <w:pPr>
        <w:ind w:left="1701" w:right="555"/>
        <w:rPr>
          <w:rFonts w:ascii="Arial" w:hAnsi="Arial" w:cs="Arial"/>
          <w:sz w:val="24"/>
        </w:rPr>
      </w:pPr>
      <w:r w:rsidRPr="00686C6C">
        <w:rPr>
          <w:rFonts w:ascii="Arial" w:hAnsi="Arial" w:cs="Arial"/>
          <w:sz w:val="24"/>
        </w:rPr>
        <w:t>which they are earned</w:t>
      </w:r>
    </w:p>
    <w:p w14:paraId="29AD1330" w14:textId="6FC5E72F" w:rsidR="00686C6C" w:rsidRDefault="00686C6C" w:rsidP="00686C6C">
      <w:pPr>
        <w:ind w:left="1701" w:right="555"/>
        <w:rPr>
          <w:rFonts w:ascii="Arial" w:hAnsi="Arial" w:cs="Arial"/>
          <w:sz w:val="24"/>
        </w:rPr>
      </w:pPr>
    </w:p>
    <w:p w14:paraId="1642F29C" w14:textId="03197D7E" w:rsidR="00686C6C" w:rsidRDefault="00686C6C" w:rsidP="00686C6C">
      <w:pPr>
        <w:pStyle w:val="ListParagraph"/>
        <w:numPr>
          <w:ilvl w:val="1"/>
          <w:numId w:val="3"/>
        </w:numPr>
        <w:ind w:right="555"/>
        <w:rPr>
          <w:rFonts w:ascii="Arial" w:hAnsi="Arial" w:cs="Arial"/>
          <w:sz w:val="24"/>
        </w:rPr>
      </w:pPr>
      <w:r w:rsidRPr="00686C6C">
        <w:rPr>
          <w:rFonts w:ascii="Arial" w:hAnsi="Arial" w:cs="Arial"/>
          <w:sz w:val="24"/>
        </w:rPr>
        <w:t xml:space="preserve">There is a great deal of conflict between PT and </w:t>
      </w:r>
      <w:r w:rsidR="00AD3D11" w:rsidRPr="00686C6C">
        <w:rPr>
          <w:rFonts w:ascii="Arial" w:hAnsi="Arial" w:cs="Arial"/>
          <w:sz w:val="24"/>
        </w:rPr>
        <w:t>Johnson,</w:t>
      </w:r>
      <w:r w:rsidRPr="00686C6C">
        <w:rPr>
          <w:rFonts w:ascii="Arial" w:hAnsi="Arial" w:cs="Arial"/>
          <w:sz w:val="24"/>
        </w:rPr>
        <w:t xml:space="preserve"> but</w:t>
      </w:r>
      <w:r w:rsidR="004C1212">
        <w:rPr>
          <w:rFonts w:ascii="Arial" w:hAnsi="Arial" w:cs="Arial"/>
          <w:sz w:val="24"/>
        </w:rPr>
        <w:t xml:space="preserve"> Johnson is a Judgment of a higher court, </w:t>
      </w:r>
      <w:proofErr w:type="gramStart"/>
      <w:r w:rsidR="004C1212">
        <w:rPr>
          <w:rFonts w:ascii="Arial" w:hAnsi="Arial" w:cs="Arial"/>
          <w:sz w:val="24"/>
        </w:rPr>
        <w:t xml:space="preserve">and </w:t>
      </w:r>
      <w:r w:rsidRPr="00686C6C">
        <w:rPr>
          <w:rFonts w:ascii="Arial" w:hAnsi="Arial" w:cs="Arial"/>
          <w:sz w:val="24"/>
        </w:rPr>
        <w:t xml:space="preserve"> I</w:t>
      </w:r>
      <w:proofErr w:type="gramEnd"/>
      <w:r w:rsidRPr="00686C6C">
        <w:rPr>
          <w:rFonts w:ascii="Arial" w:hAnsi="Arial" w:cs="Arial"/>
          <w:sz w:val="24"/>
        </w:rPr>
        <w:t xml:space="preserve"> submit that PT is no longer good law following the Court of Appeal’s Judgement in Johnson</w:t>
      </w:r>
    </w:p>
    <w:p w14:paraId="203E2006" w14:textId="77777777" w:rsidR="00686C6C" w:rsidRDefault="00686C6C" w:rsidP="00686C6C">
      <w:pPr>
        <w:pStyle w:val="ListParagraph"/>
        <w:ind w:left="1069" w:right="555"/>
        <w:rPr>
          <w:rFonts w:ascii="Arial" w:hAnsi="Arial" w:cs="Arial"/>
          <w:sz w:val="24"/>
        </w:rPr>
      </w:pPr>
    </w:p>
    <w:p w14:paraId="6E3A602F" w14:textId="0A5035B3" w:rsidR="00AD3D11" w:rsidRDefault="00AD3D11" w:rsidP="00AD3D11">
      <w:pPr>
        <w:pStyle w:val="ListParagraph"/>
        <w:numPr>
          <w:ilvl w:val="0"/>
          <w:numId w:val="3"/>
        </w:numPr>
        <w:rPr>
          <w:rFonts w:ascii="Arial" w:hAnsi="Arial" w:cs="Arial"/>
          <w:sz w:val="24"/>
        </w:rPr>
      </w:pPr>
      <w:r w:rsidRPr="00AD3D11">
        <w:rPr>
          <w:rFonts w:ascii="Arial" w:hAnsi="Arial" w:cs="Arial"/>
          <w:sz w:val="24"/>
        </w:rPr>
        <w:t xml:space="preserve">The Court of Appeal held </w:t>
      </w:r>
      <w:r w:rsidR="00FD273B" w:rsidRPr="00AD3D11">
        <w:rPr>
          <w:rFonts w:ascii="Arial" w:hAnsi="Arial" w:cs="Arial"/>
          <w:sz w:val="24"/>
        </w:rPr>
        <w:t>in Johnson</w:t>
      </w:r>
      <w:r w:rsidRPr="00AD3D11">
        <w:rPr>
          <w:rFonts w:ascii="Arial" w:hAnsi="Arial" w:cs="Arial"/>
          <w:sz w:val="24"/>
        </w:rPr>
        <w:t xml:space="preserve"> that Regulation 54(1) was both irrational and discriminatory in the circumstances of the case</w:t>
      </w:r>
      <w:r>
        <w:rPr>
          <w:rFonts w:ascii="Arial" w:hAnsi="Arial" w:cs="Arial"/>
          <w:sz w:val="24"/>
        </w:rPr>
        <w:t xml:space="preserve"> before it, and I submit that </w:t>
      </w:r>
      <w:r w:rsidR="00FD273B">
        <w:rPr>
          <w:rFonts w:ascii="Arial" w:hAnsi="Arial" w:cs="Arial"/>
          <w:sz w:val="24"/>
        </w:rPr>
        <w:t>the mischief of Regulation 54(1</w:t>
      </w:r>
      <w:r w:rsidR="008013CA">
        <w:rPr>
          <w:rFonts w:ascii="Arial" w:hAnsi="Arial" w:cs="Arial"/>
          <w:sz w:val="24"/>
        </w:rPr>
        <w:t>) becomes even</w:t>
      </w:r>
      <w:r>
        <w:rPr>
          <w:rFonts w:ascii="Arial" w:hAnsi="Arial" w:cs="Arial"/>
          <w:sz w:val="24"/>
        </w:rPr>
        <w:t xml:space="preserve"> more discriminatory and even more irrational when considered in combination with </w:t>
      </w:r>
      <w:proofErr w:type="spellStart"/>
      <w:r>
        <w:rPr>
          <w:rFonts w:ascii="Arial" w:hAnsi="Arial" w:cs="Arial"/>
          <w:sz w:val="24"/>
        </w:rPr>
        <w:t>Sch</w:t>
      </w:r>
      <w:proofErr w:type="spellEnd"/>
      <w:r>
        <w:rPr>
          <w:rFonts w:ascii="Arial" w:hAnsi="Arial" w:cs="Arial"/>
          <w:sz w:val="24"/>
        </w:rPr>
        <w:t xml:space="preserve"> 5 paragraph 5(3) because it entirely possible that a qualifying period could be extended indefinitely simply because a claimant was owed a small amount by an employer who </w:t>
      </w:r>
      <w:r w:rsidR="00FD273B">
        <w:rPr>
          <w:rFonts w:ascii="Arial" w:hAnsi="Arial" w:cs="Arial"/>
          <w:sz w:val="24"/>
        </w:rPr>
        <w:t xml:space="preserve">was inordinately slow in paying. </w:t>
      </w:r>
    </w:p>
    <w:p w14:paraId="5D9E3017" w14:textId="77777777" w:rsidR="00FD273B" w:rsidRPr="00AD3D11" w:rsidRDefault="00FD273B" w:rsidP="00FD273B">
      <w:pPr>
        <w:pStyle w:val="ListParagraph"/>
        <w:rPr>
          <w:rFonts w:ascii="Arial" w:hAnsi="Arial" w:cs="Arial"/>
          <w:sz w:val="24"/>
        </w:rPr>
      </w:pPr>
    </w:p>
    <w:p w14:paraId="06821A65" w14:textId="759BFB9C" w:rsidR="008013CA" w:rsidRDefault="008013CA" w:rsidP="002542DF">
      <w:pPr>
        <w:pStyle w:val="ListParagraph"/>
        <w:numPr>
          <w:ilvl w:val="1"/>
          <w:numId w:val="3"/>
        </w:numPr>
        <w:ind w:right="555"/>
        <w:rPr>
          <w:rFonts w:ascii="Arial" w:hAnsi="Arial" w:cs="Arial"/>
          <w:sz w:val="24"/>
        </w:rPr>
      </w:pPr>
      <w:r>
        <w:rPr>
          <w:rFonts w:ascii="Arial" w:hAnsi="Arial" w:cs="Arial"/>
          <w:sz w:val="24"/>
        </w:rPr>
        <w:t xml:space="preserve">The provisions </w:t>
      </w:r>
      <w:proofErr w:type="gramStart"/>
      <w:r>
        <w:rPr>
          <w:rFonts w:ascii="Arial" w:hAnsi="Arial" w:cs="Arial"/>
          <w:sz w:val="24"/>
        </w:rPr>
        <w:t xml:space="preserve">will </w:t>
      </w:r>
      <w:r w:rsidR="004C1212">
        <w:rPr>
          <w:rFonts w:ascii="Arial" w:hAnsi="Arial" w:cs="Arial"/>
          <w:sz w:val="24"/>
        </w:rPr>
        <w:t xml:space="preserve"> also</w:t>
      </w:r>
      <w:proofErr w:type="gramEnd"/>
      <w:r w:rsidR="004C1212">
        <w:rPr>
          <w:rFonts w:ascii="Arial" w:hAnsi="Arial" w:cs="Arial"/>
          <w:sz w:val="24"/>
        </w:rPr>
        <w:t xml:space="preserve"> </w:t>
      </w:r>
      <w:r>
        <w:rPr>
          <w:rFonts w:ascii="Arial" w:hAnsi="Arial" w:cs="Arial"/>
          <w:sz w:val="24"/>
        </w:rPr>
        <w:t xml:space="preserve">arguably </w:t>
      </w:r>
      <w:r w:rsidR="00C83FE9">
        <w:rPr>
          <w:rFonts w:ascii="Arial" w:hAnsi="Arial" w:cs="Arial"/>
          <w:sz w:val="24"/>
        </w:rPr>
        <w:t>discriminate (for</w:t>
      </w:r>
      <w:r w:rsidR="002542DF">
        <w:rPr>
          <w:rFonts w:ascii="Arial" w:hAnsi="Arial" w:cs="Arial"/>
          <w:sz w:val="24"/>
        </w:rPr>
        <w:t xml:space="preserve"> </w:t>
      </w:r>
      <w:r w:rsidR="00C83FE9">
        <w:rPr>
          <w:rFonts w:ascii="Arial" w:hAnsi="Arial" w:cs="Arial"/>
          <w:sz w:val="24"/>
        </w:rPr>
        <w:t>example) against</w:t>
      </w:r>
      <w:r>
        <w:rPr>
          <w:rFonts w:ascii="Arial" w:hAnsi="Arial" w:cs="Arial"/>
          <w:sz w:val="24"/>
        </w:rPr>
        <w:t xml:space="preserve"> ESA or former ESA claimant</w:t>
      </w:r>
      <w:r w:rsidR="00C83FE9">
        <w:rPr>
          <w:rFonts w:ascii="Arial" w:hAnsi="Arial" w:cs="Arial"/>
          <w:sz w:val="24"/>
        </w:rPr>
        <w:t>s</w:t>
      </w:r>
      <w:r>
        <w:rPr>
          <w:rFonts w:ascii="Arial" w:hAnsi="Arial" w:cs="Arial"/>
          <w:sz w:val="24"/>
        </w:rPr>
        <w:t xml:space="preserve"> who are engaged in exempt work as provided for by Regulation 45 of the 2008 ESA Regs or Regulation 39 of the </w:t>
      </w:r>
      <w:r w:rsidR="004C1212">
        <w:rPr>
          <w:rFonts w:ascii="Arial" w:hAnsi="Arial" w:cs="Arial"/>
          <w:sz w:val="24"/>
        </w:rPr>
        <w:t>2013 ESA</w:t>
      </w:r>
      <w:r w:rsidR="00C83FE9">
        <w:rPr>
          <w:rFonts w:ascii="Arial" w:hAnsi="Arial" w:cs="Arial"/>
          <w:sz w:val="24"/>
        </w:rPr>
        <w:t xml:space="preserve"> </w:t>
      </w:r>
      <w:r>
        <w:rPr>
          <w:rFonts w:ascii="Arial" w:hAnsi="Arial" w:cs="Arial"/>
          <w:sz w:val="24"/>
        </w:rPr>
        <w:t>Regulations.</w:t>
      </w:r>
    </w:p>
    <w:p w14:paraId="483B4C10" w14:textId="77777777" w:rsidR="008013CA" w:rsidRPr="008013CA" w:rsidRDefault="008013CA" w:rsidP="008013CA">
      <w:pPr>
        <w:pStyle w:val="ListParagraph"/>
        <w:rPr>
          <w:rFonts w:ascii="Arial" w:hAnsi="Arial" w:cs="Arial"/>
          <w:sz w:val="24"/>
        </w:rPr>
      </w:pPr>
    </w:p>
    <w:p w14:paraId="2BB8EA60" w14:textId="34ABFC73" w:rsidR="00686C6C" w:rsidRDefault="00973087" w:rsidP="00AD3D11">
      <w:pPr>
        <w:pStyle w:val="ListParagraph"/>
        <w:numPr>
          <w:ilvl w:val="0"/>
          <w:numId w:val="3"/>
        </w:numPr>
        <w:ind w:right="555"/>
        <w:rPr>
          <w:rFonts w:ascii="Arial" w:hAnsi="Arial" w:cs="Arial"/>
          <w:sz w:val="24"/>
        </w:rPr>
      </w:pPr>
      <w:r>
        <w:rPr>
          <w:rFonts w:ascii="Arial" w:hAnsi="Arial" w:cs="Arial"/>
          <w:sz w:val="24"/>
        </w:rPr>
        <w:t>I ask the Tribunal to allow the appeal for the reasons outlined above.</w:t>
      </w:r>
      <w:r w:rsidR="008013CA">
        <w:rPr>
          <w:rFonts w:ascii="Arial" w:hAnsi="Arial" w:cs="Arial"/>
          <w:sz w:val="24"/>
        </w:rPr>
        <w:t xml:space="preserve"> </w:t>
      </w:r>
    </w:p>
    <w:p w14:paraId="63566EB6" w14:textId="77777777" w:rsidR="00686C6C" w:rsidRPr="00686C6C" w:rsidRDefault="00686C6C" w:rsidP="00686C6C">
      <w:pPr>
        <w:pStyle w:val="ListParagraph"/>
        <w:ind w:left="1069" w:right="555"/>
        <w:rPr>
          <w:rFonts w:ascii="Arial" w:hAnsi="Arial" w:cs="Arial"/>
          <w:sz w:val="24"/>
        </w:rPr>
      </w:pPr>
    </w:p>
    <w:p w14:paraId="46BED0B8" w14:textId="77777777" w:rsidR="00686C6C" w:rsidRPr="00DB215C" w:rsidRDefault="00686C6C" w:rsidP="00686C6C">
      <w:pPr>
        <w:ind w:left="709" w:right="555"/>
        <w:rPr>
          <w:rFonts w:ascii="Arial" w:hAnsi="Arial" w:cs="Arial"/>
          <w:sz w:val="24"/>
        </w:rPr>
      </w:pPr>
    </w:p>
    <w:p w14:paraId="2BA21917" w14:textId="2CE193EA" w:rsidR="004D0124" w:rsidRDefault="004D0124" w:rsidP="007B51F0">
      <w:pPr>
        <w:ind w:right="555"/>
        <w:rPr>
          <w:rFonts w:ascii="Arial" w:hAnsi="Arial" w:cs="Arial"/>
          <w:sz w:val="24"/>
        </w:rPr>
      </w:pPr>
      <w:r>
        <w:rPr>
          <w:noProof/>
        </w:rPr>
        <w:drawing>
          <wp:anchor distT="0" distB="0" distL="114300" distR="114300" simplePos="0" relativeHeight="251658240" behindDoc="0" locked="0" layoutInCell="1" allowOverlap="1" wp14:anchorId="58345BBC" wp14:editId="0E4DB6E5">
            <wp:simplePos x="0" y="0"/>
            <wp:positionH relativeFrom="margin">
              <wp:posOffset>276225</wp:posOffset>
            </wp:positionH>
            <wp:positionV relativeFrom="paragraph">
              <wp:posOffset>14605</wp:posOffset>
            </wp:positionV>
            <wp:extent cx="1428750" cy="495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495300"/>
                    </a:xfrm>
                    <a:prstGeom prst="rect">
                      <a:avLst/>
                    </a:prstGeom>
                    <a:noFill/>
                  </pic:spPr>
                </pic:pic>
              </a:graphicData>
            </a:graphic>
            <wp14:sizeRelH relativeFrom="page">
              <wp14:pctWidth>0</wp14:pctWidth>
            </wp14:sizeRelH>
            <wp14:sizeRelV relativeFrom="page">
              <wp14:pctHeight>0</wp14:pctHeight>
            </wp14:sizeRelV>
          </wp:anchor>
        </w:drawing>
      </w:r>
    </w:p>
    <w:p w14:paraId="6C458369" w14:textId="7E740219" w:rsidR="004D0124" w:rsidRDefault="004D0124" w:rsidP="007B51F0">
      <w:pPr>
        <w:ind w:right="555"/>
        <w:rPr>
          <w:rFonts w:ascii="Arial" w:hAnsi="Arial" w:cs="Arial"/>
          <w:sz w:val="24"/>
        </w:rPr>
      </w:pPr>
    </w:p>
    <w:p w14:paraId="45D4FC16" w14:textId="33A0EEF1" w:rsidR="004D0124" w:rsidRDefault="004D0124" w:rsidP="007B51F0">
      <w:pPr>
        <w:ind w:right="555"/>
        <w:rPr>
          <w:rFonts w:ascii="Arial" w:hAnsi="Arial" w:cs="Arial"/>
          <w:sz w:val="24"/>
        </w:rPr>
      </w:pPr>
    </w:p>
    <w:p w14:paraId="7601E92E" w14:textId="77777777" w:rsidR="00493A4E" w:rsidRPr="00B96136" w:rsidRDefault="00493A4E" w:rsidP="00ED0CF8">
      <w:pPr>
        <w:ind w:left="709" w:right="271"/>
        <w:rPr>
          <w:rFonts w:ascii="Arial" w:hAnsi="Arial" w:cs="Arial"/>
          <w:sz w:val="24"/>
          <w:szCs w:val="24"/>
        </w:rPr>
      </w:pPr>
      <w:r w:rsidRPr="00B96136">
        <w:rPr>
          <w:rFonts w:ascii="Arial" w:hAnsi="Arial" w:cs="Arial"/>
          <w:sz w:val="24"/>
          <w:szCs w:val="24"/>
        </w:rPr>
        <w:t>Derek Stainsby</w:t>
      </w:r>
    </w:p>
    <w:p w14:paraId="425B83C5" w14:textId="14DE1329" w:rsidR="00493A4E" w:rsidRPr="00B96136" w:rsidRDefault="00493A4E" w:rsidP="00493A4E">
      <w:pPr>
        <w:ind w:right="271" w:firstLine="720"/>
        <w:rPr>
          <w:rFonts w:ascii="Arial" w:hAnsi="Arial" w:cs="Arial"/>
          <w:sz w:val="24"/>
          <w:szCs w:val="24"/>
        </w:rPr>
      </w:pPr>
      <w:r w:rsidRPr="00B96136">
        <w:rPr>
          <w:rFonts w:ascii="Arial" w:hAnsi="Arial" w:cs="Arial"/>
          <w:sz w:val="24"/>
          <w:szCs w:val="24"/>
        </w:rPr>
        <w:t>Welfare Rights Adviser</w:t>
      </w:r>
    </w:p>
    <w:p w14:paraId="29908C70" w14:textId="523D1D53" w:rsidR="00493A4E" w:rsidRPr="00B96136" w:rsidRDefault="00493A4E" w:rsidP="00493A4E">
      <w:pPr>
        <w:ind w:right="271" w:firstLine="720"/>
        <w:rPr>
          <w:rFonts w:ascii="Arial" w:hAnsi="Arial" w:cs="Arial"/>
          <w:sz w:val="24"/>
          <w:szCs w:val="24"/>
        </w:rPr>
      </w:pPr>
      <w:r w:rsidRPr="00B96136">
        <w:rPr>
          <w:rFonts w:ascii="Arial" w:hAnsi="Arial" w:cs="Arial"/>
          <w:sz w:val="24"/>
          <w:szCs w:val="24"/>
        </w:rPr>
        <w:t>Plumstead Community Law Centre</w:t>
      </w:r>
      <w:r>
        <w:rPr>
          <w:rFonts w:ascii="Arial" w:hAnsi="Arial" w:cs="Arial"/>
          <w:sz w:val="24"/>
          <w:szCs w:val="24"/>
        </w:rPr>
        <w:tab/>
      </w:r>
      <w:r w:rsidR="004D0124">
        <w:rPr>
          <w:rFonts w:ascii="Arial" w:hAnsi="Arial" w:cs="Arial"/>
          <w:sz w:val="24"/>
          <w:szCs w:val="24"/>
        </w:rPr>
        <w:tab/>
      </w:r>
      <w:r w:rsidR="004D0124">
        <w:rPr>
          <w:rFonts w:ascii="Arial" w:hAnsi="Arial" w:cs="Arial"/>
          <w:sz w:val="24"/>
          <w:szCs w:val="24"/>
        </w:rPr>
        <w:tab/>
        <w:t xml:space="preserve">      </w:t>
      </w:r>
      <w:proofErr w:type="gramStart"/>
      <w:r w:rsidRPr="00B96136">
        <w:rPr>
          <w:rFonts w:ascii="Arial" w:hAnsi="Arial" w:cs="Arial"/>
          <w:sz w:val="24"/>
          <w:szCs w:val="24"/>
        </w:rPr>
        <w:t>For</w:t>
      </w:r>
      <w:proofErr w:type="gramEnd"/>
      <w:r w:rsidRPr="00B96136">
        <w:rPr>
          <w:rFonts w:ascii="Arial" w:hAnsi="Arial" w:cs="Arial"/>
          <w:sz w:val="24"/>
          <w:szCs w:val="24"/>
        </w:rPr>
        <w:t xml:space="preserve"> the </w:t>
      </w:r>
      <w:r w:rsidR="004D0124" w:rsidRPr="00B96136">
        <w:rPr>
          <w:rFonts w:ascii="Arial" w:hAnsi="Arial" w:cs="Arial"/>
          <w:sz w:val="24"/>
          <w:szCs w:val="24"/>
        </w:rPr>
        <w:t xml:space="preserve">Appellant </w:t>
      </w:r>
      <w:r w:rsidR="004D0124" w:rsidRPr="00B96136">
        <w:rPr>
          <w:rFonts w:ascii="Arial" w:hAnsi="Arial" w:cs="Arial"/>
          <w:sz w:val="24"/>
          <w:szCs w:val="24"/>
        </w:rPr>
        <w:tab/>
      </w:r>
      <w:r w:rsidRPr="00B96136">
        <w:rPr>
          <w:rFonts w:ascii="Arial" w:hAnsi="Arial" w:cs="Arial"/>
          <w:sz w:val="24"/>
          <w:szCs w:val="24"/>
        </w:rPr>
        <w:tab/>
      </w:r>
      <w:r w:rsidRPr="00B96136">
        <w:rPr>
          <w:rFonts w:ascii="Arial" w:hAnsi="Arial" w:cs="Arial"/>
          <w:sz w:val="24"/>
          <w:szCs w:val="24"/>
        </w:rPr>
        <w:tab/>
      </w:r>
      <w:r w:rsidRPr="00B96136">
        <w:rPr>
          <w:rFonts w:ascii="Arial" w:hAnsi="Arial" w:cs="Arial"/>
          <w:sz w:val="24"/>
          <w:szCs w:val="24"/>
        </w:rPr>
        <w:tab/>
      </w:r>
      <w:r w:rsidRPr="00B96136">
        <w:rPr>
          <w:rFonts w:ascii="Arial" w:hAnsi="Arial" w:cs="Arial"/>
          <w:sz w:val="24"/>
          <w:szCs w:val="24"/>
        </w:rPr>
        <w:tab/>
      </w:r>
      <w:r w:rsidRPr="00B96136">
        <w:rPr>
          <w:rFonts w:ascii="Arial" w:hAnsi="Arial" w:cs="Arial"/>
          <w:sz w:val="24"/>
          <w:szCs w:val="24"/>
        </w:rPr>
        <w:tab/>
      </w:r>
      <w:r w:rsidRPr="00B96136">
        <w:rPr>
          <w:rFonts w:ascii="Arial" w:hAnsi="Arial" w:cs="Arial"/>
          <w:sz w:val="24"/>
          <w:szCs w:val="24"/>
        </w:rPr>
        <w:tab/>
      </w:r>
      <w:r w:rsidRPr="00B96136">
        <w:rPr>
          <w:rFonts w:ascii="Arial" w:hAnsi="Arial" w:cs="Arial"/>
          <w:sz w:val="24"/>
          <w:szCs w:val="24"/>
        </w:rPr>
        <w:tab/>
      </w:r>
      <w:r>
        <w:rPr>
          <w:rFonts w:ascii="Arial" w:hAnsi="Arial" w:cs="Arial"/>
          <w:sz w:val="24"/>
          <w:szCs w:val="24"/>
        </w:rPr>
        <w:tab/>
      </w:r>
      <w:r w:rsidR="004D0124">
        <w:rPr>
          <w:rFonts w:ascii="Arial" w:hAnsi="Arial" w:cs="Arial"/>
          <w:sz w:val="24"/>
          <w:szCs w:val="24"/>
        </w:rPr>
        <w:t xml:space="preserve">      </w:t>
      </w:r>
      <w:r w:rsidR="00973087">
        <w:rPr>
          <w:rFonts w:ascii="Arial" w:hAnsi="Arial" w:cs="Arial"/>
          <w:sz w:val="24"/>
          <w:szCs w:val="24"/>
        </w:rPr>
        <w:t>10</w:t>
      </w:r>
      <w:r w:rsidR="00360A91">
        <w:rPr>
          <w:rFonts w:ascii="Arial" w:hAnsi="Arial" w:cs="Arial"/>
          <w:sz w:val="24"/>
          <w:szCs w:val="24"/>
        </w:rPr>
        <w:t>/03</w:t>
      </w:r>
      <w:r w:rsidR="00453F0D">
        <w:rPr>
          <w:rFonts w:ascii="Arial" w:hAnsi="Arial" w:cs="Arial"/>
          <w:sz w:val="24"/>
          <w:szCs w:val="24"/>
        </w:rPr>
        <w:t>/2021</w:t>
      </w:r>
    </w:p>
    <w:p w14:paraId="34F602EF" w14:textId="2C16E301" w:rsidR="00DC74AD" w:rsidRDefault="00DC74AD"/>
    <w:p w14:paraId="050F6A65" w14:textId="3B714DAE" w:rsidR="00C97263" w:rsidRDefault="00C97263"/>
    <w:tbl>
      <w:tblPr>
        <w:tblStyle w:val="TableGrid"/>
        <w:tblW w:w="0" w:type="auto"/>
        <w:tblLook w:val="04A0" w:firstRow="1" w:lastRow="0" w:firstColumn="1" w:lastColumn="0" w:noHBand="0" w:noVBand="1"/>
      </w:tblPr>
      <w:tblGrid>
        <w:gridCol w:w="9016"/>
      </w:tblGrid>
      <w:tr w:rsidR="0018773D" w:rsidRPr="0018773D" w14:paraId="1366A00A" w14:textId="77777777" w:rsidTr="0018773D">
        <w:tc>
          <w:tcPr>
            <w:tcW w:w="9016" w:type="dxa"/>
          </w:tcPr>
          <w:p w14:paraId="024104ED" w14:textId="4500879E" w:rsidR="0018773D" w:rsidRPr="0018773D" w:rsidRDefault="0018773D" w:rsidP="006C1B8B">
            <w:pPr>
              <w:rPr>
                <w:rFonts w:ascii="Arial" w:hAnsi="Arial" w:cs="Arial"/>
                <w:sz w:val="24"/>
                <w:szCs w:val="24"/>
              </w:rPr>
            </w:pPr>
            <w:r w:rsidRPr="0018773D">
              <w:rPr>
                <w:rFonts w:ascii="Arial" w:hAnsi="Arial" w:cs="Arial"/>
                <w:sz w:val="24"/>
                <w:szCs w:val="24"/>
              </w:rPr>
              <w:t>Attachment</w:t>
            </w:r>
            <w:r w:rsidR="00973087">
              <w:rPr>
                <w:rFonts w:ascii="Arial" w:hAnsi="Arial" w:cs="Arial"/>
                <w:sz w:val="24"/>
                <w:szCs w:val="24"/>
              </w:rPr>
              <w:t>s</w:t>
            </w:r>
          </w:p>
        </w:tc>
      </w:tr>
      <w:tr w:rsidR="0018773D" w:rsidRPr="00F8784A" w14:paraId="696E2E21" w14:textId="77777777" w:rsidTr="0018773D">
        <w:tc>
          <w:tcPr>
            <w:tcW w:w="9016" w:type="dxa"/>
          </w:tcPr>
          <w:p w14:paraId="63164BFE" w14:textId="4F1DC258" w:rsidR="0018773D" w:rsidRPr="00F8784A" w:rsidRDefault="0018773D" w:rsidP="006C1B8B">
            <w:pPr>
              <w:rPr>
                <w:rFonts w:ascii="Arial" w:hAnsi="Arial" w:cs="Arial"/>
                <w:sz w:val="24"/>
                <w:szCs w:val="24"/>
              </w:rPr>
            </w:pPr>
            <w:r w:rsidRPr="0018773D">
              <w:rPr>
                <w:rFonts w:ascii="Arial" w:hAnsi="Arial" w:cs="Arial"/>
                <w:sz w:val="24"/>
                <w:szCs w:val="24"/>
              </w:rPr>
              <w:t xml:space="preserve">Copy of </w:t>
            </w:r>
            <w:r w:rsidR="00973087">
              <w:rPr>
                <w:rFonts w:ascii="Arial" w:hAnsi="Arial" w:cs="Arial"/>
                <w:sz w:val="24"/>
                <w:szCs w:val="24"/>
              </w:rPr>
              <w:t>Email from Manpower</w:t>
            </w:r>
          </w:p>
        </w:tc>
      </w:tr>
      <w:tr w:rsidR="002542DF" w:rsidRPr="00F8784A" w14:paraId="08F659BB" w14:textId="77777777" w:rsidTr="0018773D">
        <w:tc>
          <w:tcPr>
            <w:tcW w:w="9016" w:type="dxa"/>
          </w:tcPr>
          <w:p w14:paraId="4E96C452" w14:textId="77777777" w:rsidR="002542DF" w:rsidRPr="002542DF" w:rsidRDefault="002542DF" w:rsidP="006C1B8B">
            <w:pPr>
              <w:rPr>
                <w:rFonts w:ascii="Arial" w:hAnsi="Arial" w:cs="Arial"/>
                <w:sz w:val="24"/>
                <w:szCs w:val="24"/>
              </w:rPr>
            </w:pPr>
          </w:p>
        </w:tc>
      </w:tr>
      <w:tr w:rsidR="00973087" w:rsidRPr="00F8784A" w14:paraId="390B20EE" w14:textId="77777777" w:rsidTr="0018773D">
        <w:tc>
          <w:tcPr>
            <w:tcW w:w="9016" w:type="dxa"/>
          </w:tcPr>
          <w:p w14:paraId="23F6403D" w14:textId="3664F731" w:rsidR="00973087" w:rsidRPr="0018773D" w:rsidRDefault="002542DF" w:rsidP="006C1B8B">
            <w:pPr>
              <w:rPr>
                <w:rFonts w:ascii="Arial" w:hAnsi="Arial" w:cs="Arial"/>
                <w:sz w:val="24"/>
                <w:szCs w:val="24"/>
              </w:rPr>
            </w:pPr>
            <w:r w:rsidRPr="002542DF">
              <w:rPr>
                <w:rFonts w:ascii="Arial" w:hAnsi="Arial" w:cs="Arial"/>
                <w:sz w:val="24"/>
                <w:szCs w:val="24"/>
              </w:rPr>
              <w:t xml:space="preserve">R v Johnson and </w:t>
            </w:r>
            <w:proofErr w:type="spellStart"/>
            <w:r w:rsidRPr="002542DF">
              <w:rPr>
                <w:rFonts w:ascii="Arial" w:hAnsi="Arial" w:cs="Arial"/>
                <w:sz w:val="24"/>
                <w:szCs w:val="24"/>
              </w:rPr>
              <w:t>ors</w:t>
            </w:r>
            <w:proofErr w:type="spellEnd"/>
            <w:r w:rsidRPr="002542DF">
              <w:rPr>
                <w:rFonts w:ascii="Arial" w:hAnsi="Arial" w:cs="Arial"/>
                <w:sz w:val="24"/>
                <w:szCs w:val="24"/>
              </w:rPr>
              <w:t xml:space="preserve"> [2020] EWCA </w:t>
            </w:r>
            <w:proofErr w:type="spellStart"/>
            <w:r w:rsidRPr="002542DF">
              <w:rPr>
                <w:rFonts w:ascii="Arial" w:hAnsi="Arial" w:cs="Arial"/>
                <w:sz w:val="24"/>
                <w:szCs w:val="24"/>
              </w:rPr>
              <w:t>Civ</w:t>
            </w:r>
            <w:proofErr w:type="spellEnd"/>
            <w:r w:rsidRPr="002542DF">
              <w:rPr>
                <w:rFonts w:ascii="Arial" w:hAnsi="Arial" w:cs="Arial"/>
                <w:sz w:val="24"/>
                <w:szCs w:val="24"/>
              </w:rPr>
              <w:t xml:space="preserve"> 778</w:t>
            </w:r>
          </w:p>
        </w:tc>
      </w:tr>
      <w:tr w:rsidR="002542DF" w:rsidRPr="00F8784A" w14:paraId="77C92ECB" w14:textId="77777777" w:rsidTr="0018773D">
        <w:tc>
          <w:tcPr>
            <w:tcW w:w="9016" w:type="dxa"/>
          </w:tcPr>
          <w:p w14:paraId="79ACDDE2" w14:textId="087B4487" w:rsidR="002542DF" w:rsidRPr="002542DF" w:rsidRDefault="002542DF" w:rsidP="006C1B8B">
            <w:pPr>
              <w:rPr>
                <w:rFonts w:ascii="Arial" w:hAnsi="Arial" w:cs="Arial"/>
                <w:sz w:val="24"/>
                <w:szCs w:val="24"/>
              </w:rPr>
            </w:pPr>
            <w:r w:rsidRPr="002542DF">
              <w:rPr>
                <w:rFonts w:ascii="Arial" w:hAnsi="Arial" w:cs="Arial"/>
                <w:sz w:val="24"/>
                <w:szCs w:val="24"/>
              </w:rPr>
              <w:t>RR (Appellant) v Secretary of State for Work and Pensions (Respondent) [2019] UKSC 52</w:t>
            </w:r>
          </w:p>
        </w:tc>
      </w:tr>
      <w:tr w:rsidR="002542DF" w:rsidRPr="00F8784A" w14:paraId="19328E3D" w14:textId="77777777" w:rsidTr="0018773D">
        <w:tc>
          <w:tcPr>
            <w:tcW w:w="9016" w:type="dxa"/>
          </w:tcPr>
          <w:p w14:paraId="517F3C21" w14:textId="5BA90C53" w:rsidR="002542DF" w:rsidRPr="002542DF" w:rsidRDefault="002542DF" w:rsidP="006C1B8B">
            <w:pPr>
              <w:rPr>
                <w:rFonts w:ascii="Arial" w:hAnsi="Arial" w:cs="Arial"/>
                <w:sz w:val="24"/>
                <w:szCs w:val="24"/>
              </w:rPr>
            </w:pPr>
            <w:r w:rsidRPr="002542DF">
              <w:rPr>
                <w:rFonts w:ascii="Arial" w:hAnsi="Arial" w:cs="Arial"/>
                <w:sz w:val="24"/>
                <w:szCs w:val="24"/>
              </w:rPr>
              <w:t xml:space="preserve">PT V SECRETARY OF STATE FOR WORK AND PENSIONS [2015] UKUT 0696 (AAC)  </w:t>
            </w:r>
          </w:p>
        </w:tc>
      </w:tr>
    </w:tbl>
    <w:p w14:paraId="44AB589F" w14:textId="4C340217" w:rsidR="0018773D" w:rsidRPr="00F8784A" w:rsidRDefault="0018773D" w:rsidP="0018773D">
      <w:pPr>
        <w:rPr>
          <w:rFonts w:ascii="Arial" w:hAnsi="Arial" w:cs="Arial"/>
          <w:sz w:val="24"/>
          <w:szCs w:val="24"/>
        </w:rPr>
      </w:pPr>
    </w:p>
    <w:sectPr w:rsidR="0018773D" w:rsidRPr="00F878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3492C"/>
    <w:multiLevelType w:val="multilevel"/>
    <w:tmpl w:val="771CCB0A"/>
    <w:lvl w:ilvl="0">
      <w:start w:val="1"/>
      <w:numFmt w:val="decimal"/>
      <w:lvlText w:val="%1."/>
      <w:lvlJc w:val="left"/>
      <w:pPr>
        <w:ind w:left="720" w:hanging="360"/>
      </w:pPr>
      <w:rPr>
        <w:rFonts w:hint="default"/>
        <w:b w:val="0"/>
        <w:i w:val="0"/>
        <w:iCs w:val="0"/>
      </w:rPr>
    </w:lvl>
    <w:lvl w:ilvl="1">
      <w:start w:val="1"/>
      <w:numFmt w:val="decimal"/>
      <w:isLgl/>
      <w:lvlText w:val="%1.%2"/>
      <w:lvlJc w:val="left"/>
      <w:pPr>
        <w:ind w:left="1069" w:hanging="36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10F42489"/>
    <w:multiLevelType w:val="multilevel"/>
    <w:tmpl w:val="9688614C"/>
    <w:lvl w:ilvl="0">
      <w:start w:val="2"/>
      <w:numFmt w:val="decimal"/>
      <w:lvlText w:val="%1."/>
      <w:lvlJc w:val="left"/>
      <w:pPr>
        <w:ind w:left="720" w:hanging="360"/>
      </w:pPr>
      <w:rPr>
        <w:rFonts w:hint="default"/>
        <w:b w:val="0"/>
        <w:i w:val="0"/>
        <w:iCs w:val="0"/>
      </w:rPr>
    </w:lvl>
    <w:lvl w:ilvl="1">
      <w:start w:val="1"/>
      <w:numFmt w:val="decimal"/>
      <w:isLgl/>
      <w:lvlText w:val="%1.%2"/>
      <w:lvlJc w:val="left"/>
      <w:pPr>
        <w:ind w:left="1069" w:hanging="36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 w15:restartNumberingAfterBreak="0">
    <w:nsid w:val="1C3D07D0"/>
    <w:multiLevelType w:val="hybridMultilevel"/>
    <w:tmpl w:val="BF468F2A"/>
    <w:lvl w:ilvl="0" w:tplc="1CF4159E">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3" w15:restartNumberingAfterBreak="0">
    <w:nsid w:val="55461716"/>
    <w:multiLevelType w:val="hybridMultilevel"/>
    <w:tmpl w:val="38F8C9E2"/>
    <w:lvl w:ilvl="0" w:tplc="117AFA48">
      <w:start w:val="5"/>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6D0353D3"/>
    <w:multiLevelType w:val="multilevel"/>
    <w:tmpl w:val="5C548A6E"/>
    <w:lvl w:ilvl="0">
      <w:start w:val="1"/>
      <w:numFmt w:val="decimal"/>
      <w:lvlText w:val="%1."/>
      <w:lvlJc w:val="left"/>
      <w:pPr>
        <w:ind w:left="720" w:hanging="360"/>
      </w:pPr>
      <w:rPr>
        <w:b w:val="0"/>
      </w:rPr>
    </w:lvl>
    <w:lvl w:ilvl="1">
      <w:start w:val="1"/>
      <w:numFmt w:val="decimal"/>
      <w:isLgl/>
      <w:lvlText w:val="%1.%2"/>
      <w:lvlJc w:val="left"/>
      <w:pPr>
        <w:ind w:left="1069" w:hanging="360"/>
      </w:pPr>
      <w:rPr>
        <w:b w:val="0"/>
      </w:r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3894" w:hanging="1440"/>
      </w:pPr>
    </w:lvl>
    <w:lvl w:ilvl="7">
      <w:start w:val="1"/>
      <w:numFmt w:val="decimal"/>
      <w:isLgl/>
      <w:lvlText w:val="%1.%2.%3.%4.%5.%6.%7.%8"/>
      <w:lvlJc w:val="left"/>
      <w:pPr>
        <w:ind w:left="4603" w:hanging="1800"/>
      </w:pPr>
    </w:lvl>
    <w:lvl w:ilvl="8">
      <w:start w:val="1"/>
      <w:numFmt w:val="decimal"/>
      <w:isLgl/>
      <w:lvlText w:val="%1.%2.%3.%4.%5.%6.%7.%8.%9"/>
      <w:lvlJc w:val="left"/>
      <w:pPr>
        <w:ind w:left="4952" w:hanging="180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1F0"/>
    <w:rsid w:val="000207A7"/>
    <w:rsid w:val="00030F6E"/>
    <w:rsid w:val="00045A25"/>
    <w:rsid w:val="000653E7"/>
    <w:rsid w:val="00081D16"/>
    <w:rsid w:val="000A2E32"/>
    <w:rsid w:val="000C06BA"/>
    <w:rsid w:val="000C0D7F"/>
    <w:rsid w:val="000C349A"/>
    <w:rsid w:val="000D7CA0"/>
    <w:rsid w:val="00101DDE"/>
    <w:rsid w:val="001275D5"/>
    <w:rsid w:val="001363F6"/>
    <w:rsid w:val="001755C7"/>
    <w:rsid w:val="0018773D"/>
    <w:rsid w:val="0019533B"/>
    <w:rsid w:val="00197A98"/>
    <w:rsid w:val="001B35EB"/>
    <w:rsid w:val="001D02B0"/>
    <w:rsid w:val="001F3511"/>
    <w:rsid w:val="00214AFC"/>
    <w:rsid w:val="00235E36"/>
    <w:rsid w:val="002542DF"/>
    <w:rsid w:val="002C1C7E"/>
    <w:rsid w:val="002D60A7"/>
    <w:rsid w:val="002E5382"/>
    <w:rsid w:val="002E6329"/>
    <w:rsid w:val="0033086C"/>
    <w:rsid w:val="003421CB"/>
    <w:rsid w:val="00347BB1"/>
    <w:rsid w:val="0035233C"/>
    <w:rsid w:val="00354431"/>
    <w:rsid w:val="00360A91"/>
    <w:rsid w:val="00371D7D"/>
    <w:rsid w:val="003B0E84"/>
    <w:rsid w:val="003D6156"/>
    <w:rsid w:val="003F1D9E"/>
    <w:rsid w:val="003F36EA"/>
    <w:rsid w:val="003F64E3"/>
    <w:rsid w:val="004056F9"/>
    <w:rsid w:val="00415709"/>
    <w:rsid w:val="004245E6"/>
    <w:rsid w:val="00447908"/>
    <w:rsid w:val="00453F0D"/>
    <w:rsid w:val="0046293D"/>
    <w:rsid w:val="004630B5"/>
    <w:rsid w:val="00466AC3"/>
    <w:rsid w:val="00492AC8"/>
    <w:rsid w:val="00493A4E"/>
    <w:rsid w:val="004B5668"/>
    <w:rsid w:val="004C1212"/>
    <w:rsid w:val="004D0124"/>
    <w:rsid w:val="004F323A"/>
    <w:rsid w:val="00516283"/>
    <w:rsid w:val="005607AB"/>
    <w:rsid w:val="00560948"/>
    <w:rsid w:val="00585C41"/>
    <w:rsid w:val="005B68C5"/>
    <w:rsid w:val="005D09E0"/>
    <w:rsid w:val="00651FC8"/>
    <w:rsid w:val="00663A7C"/>
    <w:rsid w:val="0068148B"/>
    <w:rsid w:val="00686C6C"/>
    <w:rsid w:val="006A0D16"/>
    <w:rsid w:val="006D0CD7"/>
    <w:rsid w:val="006D22F0"/>
    <w:rsid w:val="006F288A"/>
    <w:rsid w:val="00711504"/>
    <w:rsid w:val="00774DF7"/>
    <w:rsid w:val="007823A4"/>
    <w:rsid w:val="007836BC"/>
    <w:rsid w:val="007A64B7"/>
    <w:rsid w:val="007B51F0"/>
    <w:rsid w:val="008013CA"/>
    <w:rsid w:val="00804BA0"/>
    <w:rsid w:val="00833ABE"/>
    <w:rsid w:val="00850B3D"/>
    <w:rsid w:val="008F2E8D"/>
    <w:rsid w:val="00900FCE"/>
    <w:rsid w:val="009224DC"/>
    <w:rsid w:val="00941307"/>
    <w:rsid w:val="00942A18"/>
    <w:rsid w:val="00956E3A"/>
    <w:rsid w:val="00973087"/>
    <w:rsid w:val="00983AE9"/>
    <w:rsid w:val="00992703"/>
    <w:rsid w:val="009A7BA0"/>
    <w:rsid w:val="00A0194D"/>
    <w:rsid w:val="00A105CD"/>
    <w:rsid w:val="00A13A80"/>
    <w:rsid w:val="00A15D30"/>
    <w:rsid w:val="00A465FD"/>
    <w:rsid w:val="00A60EC6"/>
    <w:rsid w:val="00A63324"/>
    <w:rsid w:val="00A74E99"/>
    <w:rsid w:val="00AA0D42"/>
    <w:rsid w:val="00AD3D11"/>
    <w:rsid w:val="00AD63C2"/>
    <w:rsid w:val="00B052E8"/>
    <w:rsid w:val="00B26A7B"/>
    <w:rsid w:val="00B96A1B"/>
    <w:rsid w:val="00BA09AB"/>
    <w:rsid w:val="00BF22E5"/>
    <w:rsid w:val="00C0749D"/>
    <w:rsid w:val="00C13BA0"/>
    <w:rsid w:val="00C2238C"/>
    <w:rsid w:val="00C25CE9"/>
    <w:rsid w:val="00C4545A"/>
    <w:rsid w:val="00C70663"/>
    <w:rsid w:val="00C758E3"/>
    <w:rsid w:val="00C83FE9"/>
    <w:rsid w:val="00C97263"/>
    <w:rsid w:val="00CB0C36"/>
    <w:rsid w:val="00CB264B"/>
    <w:rsid w:val="00CB7918"/>
    <w:rsid w:val="00CE5A22"/>
    <w:rsid w:val="00CE5A55"/>
    <w:rsid w:val="00CF1EBE"/>
    <w:rsid w:val="00D00DA4"/>
    <w:rsid w:val="00D01C5C"/>
    <w:rsid w:val="00D031D6"/>
    <w:rsid w:val="00D2151F"/>
    <w:rsid w:val="00D30943"/>
    <w:rsid w:val="00D3396A"/>
    <w:rsid w:val="00D460EC"/>
    <w:rsid w:val="00D54B5C"/>
    <w:rsid w:val="00D66E9C"/>
    <w:rsid w:val="00D85B7D"/>
    <w:rsid w:val="00D9641F"/>
    <w:rsid w:val="00DB215C"/>
    <w:rsid w:val="00DC74AD"/>
    <w:rsid w:val="00E11FBF"/>
    <w:rsid w:val="00E42B21"/>
    <w:rsid w:val="00E4722E"/>
    <w:rsid w:val="00E62080"/>
    <w:rsid w:val="00E659EF"/>
    <w:rsid w:val="00E92020"/>
    <w:rsid w:val="00EA1412"/>
    <w:rsid w:val="00EA4F8E"/>
    <w:rsid w:val="00EB587A"/>
    <w:rsid w:val="00ED0CF8"/>
    <w:rsid w:val="00ED40EB"/>
    <w:rsid w:val="00F048F4"/>
    <w:rsid w:val="00F14E09"/>
    <w:rsid w:val="00F47DD7"/>
    <w:rsid w:val="00F54ECF"/>
    <w:rsid w:val="00F77D9E"/>
    <w:rsid w:val="00F8784A"/>
    <w:rsid w:val="00FA329A"/>
    <w:rsid w:val="00FD273B"/>
    <w:rsid w:val="00FD6E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FA382"/>
  <w15:docId w15:val="{22DD615F-0DD4-48D9-8E56-FC3618DAF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1F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1F0"/>
    <w:pPr>
      <w:ind w:left="720"/>
    </w:pPr>
  </w:style>
  <w:style w:type="table" w:styleId="TableGrid">
    <w:name w:val="Table Grid"/>
    <w:basedOn w:val="TableNormal"/>
    <w:uiPriority w:val="59"/>
    <w:rsid w:val="00C97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01DDE"/>
    <w:rPr>
      <w:rFonts w:ascii="Segoe UI" w:hAnsi="Segoe UI" w:cs="Segoe UI"/>
      <w:sz w:val="18"/>
      <w:szCs w:val="18"/>
    </w:rPr>
  </w:style>
  <w:style w:type="character" w:customStyle="1" w:styleId="BalloonTextChar">
    <w:name w:val="Balloon Text Char"/>
    <w:basedOn w:val="DefaultParagraphFont"/>
    <w:link w:val="BalloonText"/>
    <w:rsid w:val="00101DDE"/>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9A7BA0"/>
    <w:rPr>
      <w:sz w:val="16"/>
      <w:szCs w:val="16"/>
    </w:rPr>
  </w:style>
  <w:style w:type="paragraph" w:styleId="CommentText">
    <w:name w:val="annotation text"/>
    <w:basedOn w:val="Normal"/>
    <w:link w:val="CommentTextChar"/>
    <w:uiPriority w:val="99"/>
    <w:semiHidden/>
    <w:unhideWhenUsed/>
    <w:rsid w:val="009A7BA0"/>
  </w:style>
  <w:style w:type="character" w:customStyle="1" w:styleId="CommentTextChar">
    <w:name w:val="Comment Text Char"/>
    <w:basedOn w:val="DefaultParagraphFont"/>
    <w:link w:val="CommentText"/>
    <w:uiPriority w:val="99"/>
    <w:semiHidden/>
    <w:rsid w:val="009A7BA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A7BA0"/>
    <w:rPr>
      <w:b/>
      <w:bCs/>
    </w:rPr>
  </w:style>
  <w:style w:type="character" w:customStyle="1" w:styleId="CommentSubjectChar">
    <w:name w:val="Comment Subject Char"/>
    <w:basedOn w:val="CommentTextChar"/>
    <w:link w:val="CommentSubject"/>
    <w:uiPriority w:val="99"/>
    <w:semiHidden/>
    <w:rsid w:val="009A7BA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19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4659A-BEF2-4664-9546-3B7669D2E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7</Pages>
  <Words>2193</Words>
  <Characters>12501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Derek Stainsby</cp:lastModifiedBy>
  <cp:revision>2</cp:revision>
  <cp:lastPrinted>2021-03-10T18:33:00Z</cp:lastPrinted>
  <dcterms:created xsi:type="dcterms:W3CDTF">2021-04-08T16:18:00Z</dcterms:created>
  <dcterms:modified xsi:type="dcterms:W3CDTF">2021-04-08T16:18:00Z</dcterms:modified>
</cp:coreProperties>
</file>