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CellSpacing w:w="10" w:type="dxa"/>
        <w:tblCellMar>
          <w:top w:w="20" w:type="dxa"/>
          <w:left w:w="20" w:type="dxa"/>
          <w:bottom w:w="20" w:type="dxa"/>
          <w:right w:w="20" w:type="dxa"/>
        </w:tblCellMar>
        <w:tblLook w:val="04A0" w:firstRow="1" w:lastRow="0" w:firstColumn="1" w:lastColumn="0" w:noHBand="0" w:noVBand="1"/>
      </w:tblPr>
      <w:tblGrid>
        <w:gridCol w:w="9639"/>
      </w:tblGrid>
      <w:tr w:rsidR="006B3390" w14:paraId="3668B489" w14:textId="77777777" w:rsidTr="006B3390">
        <w:trPr>
          <w:tblCellSpacing w:w="10" w:type="dxa"/>
        </w:trPr>
        <w:tc>
          <w:tcPr>
            <w:tcW w:w="9599" w:type="dxa"/>
            <w:vAlign w:val="center"/>
            <w:hideMark/>
          </w:tcPr>
          <w:p w14:paraId="5A7E329E" w14:textId="5BE4D01C" w:rsidR="006B3390" w:rsidRDefault="006B3390">
            <w:pPr>
              <w:rPr>
                <w:lang w:eastAsia="en-US"/>
              </w:rPr>
            </w:pPr>
            <w:r>
              <w:rPr>
                <w:noProof/>
                <w:lang w:eastAsia="en-US"/>
              </w:rPr>
              <w:drawing>
                <wp:inline distT="0" distB="0" distL="0" distR="0" wp14:anchorId="3BD88A7E" wp14:editId="715EC628">
                  <wp:extent cx="2381250" cy="514350"/>
                  <wp:effectExtent l="0" t="0" r="0" b="0"/>
                  <wp:docPr id="3" name="Picture 3"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Office-Logo" descr="Home Off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514350"/>
                          </a:xfrm>
                          <a:prstGeom prst="rect">
                            <a:avLst/>
                          </a:prstGeom>
                          <a:noFill/>
                          <a:ln>
                            <a:noFill/>
                          </a:ln>
                        </pic:spPr>
                      </pic:pic>
                    </a:graphicData>
                  </a:graphic>
                </wp:inline>
              </w:drawing>
            </w:r>
          </w:p>
        </w:tc>
      </w:tr>
      <w:tr w:rsidR="006B3390" w14:paraId="3A7EF1F5" w14:textId="77777777" w:rsidTr="006B3390">
        <w:trPr>
          <w:tblCellSpacing w:w="10" w:type="dxa"/>
        </w:trPr>
        <w:tc>
          <w:tcPr>
            <w:tcW w:w="9599" w:type="dxa"/>
            <w:vAlign w:val="center"/>
            <w:hideMark/>
          </w:tcPr>
          <w:p w14:paraId="69E2BD24" w14:textId="77777777" w:rsidR="006B3390" w:rsidRDefault="006B3390">
            <w:pPr>
              <w:rPr>
                <w:lang w:eastAsia="en-US"/>
              </w:rPr>
            </w:pPr>
            <w:r>
              <w:rPr>
                <w:lang w:eastAsia="en-US"/>
              </w:rPr>
              <w:t> </w:t>
            </w:r>
          </w:p>
        </w:tc>
      </w:tr>
      <w:tr w:rsidR="006B3390" w14:paraId="047A565D" w14:textId="77777777" w:rsidTr="006B3390">
        <w:trPr>
          <w:tblCellSpacing w:w="10" w:type="dxa"/>
        </w:trPr>
        <w:tc>
          <w:tcPr>
            <w:tcW w:w="9599" w:type="dxa"/>
            <w:vAlign w:val="center"/>
            <w:hideMark/>
          </w:tcPr>
          <w:p w14:paraId="331522B7" w14:textId="77777777" w:rsidR="006B3390" w:rsidRDefault="006B3390">
            <w:pPr>
              <w:pStyle w:val="NormalWeb"/>
              <w:rPr>
                <w:lang w:eastAsia="en-US"/>
              </w:rPr>
            </w:pPr>
            <w:r>
              <w:rPr>
                <w:rFonts w:ascii="Arial" w:hAnsi="Arial" w:cs="Arial"/>
                <w:sz w:val="24"/>
                <w:szCs w:val="24"/>
                <w:lang w:eastAsia="en-US"/>
              </w:rPr>
              <w:t>2 July 2021</w:t>
            </w:r>
          </w:p>
          <w:p w14:paraId="4CE190BC" w14:textId="77777777" w:rsidR="006B3390" w:rsidRDefault="006B3390">
            <w:pPr>
              <w:pStyle w:val="NormalWeb"/>
              <w:rPr>
                <w:lang w:eastAsia="en-US"/>
              </w:rPr>
            </w:pPr>
            <w:r>
              <w:rPr>
                <w:rFonts w:ascii="Arial" w:hAnsi="Arial" w:cs="Arial"/>
                <w:i/>
                <w:iCs/>
                <w:sz w:val="24"/>
                <w:szCs w:val="24"/>
                <w:lang w:eastAsia="en-US"/>
              </w:rPr>
              <w:t>This is the latest information on the EU Settlement Scheme. You are receiving this because you have requested email updates from the UK Government.</w:t>
            </w:r>
            <w:r>
              <w:rPr>
                <w:rFonts w:ascii="Arial" w:hAnsi="Arial" w:cs="Arial"/>
                <w:sz w:val="24"/>
                <w:szCs w:val="24"/>
                <w:lang w:eastAsia="en-US"/>
              </w:rPr>
              <w:t> </w:t>
            </w:r>
          </w:p>
        </w:tc>
      </w:tr>
      <w:tr w:rsidR="006B3390" w14:paraId="696A4306" w14:textId="77777777" w:rsidTr="006B3390">
        <w:trPr>
          <w:tblCellSpacing w:w="10" w:type="dxa"/>
        </w:trPr>
        <w:tc>
          <w:tcPr>
            <w:tcW w:w="9599" w:type="dxa"/>
            <w:vAlign w:val="center"/>
            <w:hideMark/>
          </w:tcPr>
          <w:p w14:paraId="644FEDFF" w14:textId="77777777" w:rsidR="006B3390" w:rsidRDefault="006B3390">
            <w:pPr>
              <w:rPr>
                <w:lang w:eastAsia="en-US"/>
              </w:rPr>
            </w:pPr>
            <w:r>
              <w:rPr>
                <w:lang w:eastAsia="en-US"/>
              </w:rPr>
              <w:t> </w:t>
            </w:r>
          </w:p>
        </w:tc>
      </w:tr>
      <w:tr w:rsidR="006B3390" w14:paraId="5DF74ACA" w14:textId="77777777" w:rsidTr="006B3390">
        <w:trPr>
          <w:tblCellSpacing w:w="10" w:type="dxa"/>
        </w:trPr>
        <w:tc>
          <w:tcPr>
            <w:tcW w:w="9599" w:type="dxa"/>
            <w:vAlign w:val="center"/>
            <w:hideMark/>
          </w:tcPr>
          <w:p w14:paraId="2C9A32E5" w14:textId="77777777" w:rsidR="006B3390" w:rsidRDefault="006B3390">
            <w:pPr>
              <w:pStyle w:val="NormalWeb"/>
              <w:rPr>
                <w:lang w:eastAsia="en-US"/>
              </w:rPr>
            </w:pPr>
            <w:r>
              <w:rPr>
                <w:rStyle w:val="Strong"/>
                <w:rFonts w:ascii="Arial" w:hAnsi="Arial" w:cs="Arial"/>
                <w:sz w:val="24"/>
                <w:szCs w:val="24"/>
                <w:lang w:eastAsia="en-US"/>
              </w:rPr>
              <w:t>EU Settlement Scheme – the deadline has now passed</w:t>
            </w:r>
          </w:p>
          <w:p w14:paraId="329F3C61" w14:textId="77777777" w:rsidR="006B3390" w:rsidRDefault="006B3390">
            <w:pPr>
              <w:pStyle w:val="NormalWeb"/>
              <w:rPr>
                <w:lang w:eastAsia="en-US"/>
              </w:rPr>
            </w:pPr>
            <w:r>
              <w:rPr>
                <w:rFonts w:ascii="Arial" w:hAnsi="Arial" w:cs="Arial"/>
                <w:sz w:val="24"/>
                <w:szCs w:val="24"/>
                <w:lang w:eastAsia="en-US"/>
              </w:rPr>
              <w:t>Wednesday 30 June 2021, was the deadline for applications to the EU Settlement Scheme (EUSS) for EU, EEA and Swiss citizens and their family members, who were resident in the UK by 31 December 2020.</w:t>
            </w:r>
          </w:p>
          <w:p w14:paraId="21DC3021" w14:textId="77777777" w:rsidR="006B3390" w:rsidRDefault="006B3390">
            <w:pPr>
              <w:pStyle w:val="NormalWeb"/>
              <w:rPr>
                <w:lang w:eastAsia="en-US"/>
              </w:rPr>
            </w:pPr>
            <w:r>
              <w:rPr>
                <w:rFonts w:ascii="Arial" w:hAnsi="Arial" w:cs="Arial"/>
                <w:sz w:val="24"/>
                <w:szCs w:val="24"/>
                <w:lang w:eastAsia="en-US"/>
              </w:rPr>
              <w:t>More than six million applications were made to the EU Settlement Scheme before the 30 June deadline, marking an astonishing success in protecting the rights of EU citizens in the UK.</w:t>
            </w:r>
          </w:p>
          <w:p w14:paraId="172F2221" w14:textId="77777777" w:rsidR="006B3390" w:rsidRDefault="006B3390">
            <w:pPr>
              <w:pStyle w:val="NormalWeb"/>
              <w:rPr>
                <w:lang w:eastAsia="en-US"/>
              </w:rPr>
            </w:pPr>
            <w:r>
              <w:rPr>
                <w:rFonts w:ascii="Arial" w:hAnsi="Arial" w:cs="Arial"/>
                <w:sz w:val="24"/>
                <w:szCs w:val="24"/>
                <w:lang w:eastAsia="en-US"/>
              </w:rPr>
              <w:t xml:space="preserve">The </w:t>
            </w:r>
            <w:hyperlink r:id="rId6" w:history="1">
              <w:r>
                <w:rPr>
                  <w:rStyle w:val="Hyperlink"/>
                  <w:rFonts w:ascii="Arial" w:hAnsi="Arial" w:cs="Arial"/>
                  <w:sz w:val="24"/>
                  <w:szCs w:val="24"/>
                  <w:lang w:eastAsia="en-US"/>
                </w:rPr>
                <w:t>statistics released today</w:t>
              </w:r>
            </w:hyperlink>
            <w:r>
              <w:rPr>
                <w:rFonts w:ascii="Arial" w:hAnsi="Arial" w:cs="Arial"/>
                <w:sz w:val="24"/>
                <w:szCs w:val="24"/>
                <w:lang w:eastAsia="en-US"/>
              </w:rPr>
              <w:t xml:space="preserve"> (Friday 2 July) show there were 6.02 million applications made to the scheme by 30 June with 5.1 million grants of status. There have been more than 5.3 million applications from England, 291,200 from Scotland, 98,600 from Wales, and 98,400 from Northern Ireland.  </w:t>
            </w:r>
          </w:p>
          <w:p w14:paraId="063D120D" w14:textId="77777777" w:rsidR="006B3390" w:rsidRDefault="006B3390">
            <w:pPr>
              <w:pStyle w:val="NormalWeb"/>
              <w:rPr>
                <w:lang w:eastAsia="en-US"/>
              </w:rPr>
            </w:pPr>
            <w:r>
              <w:rPr>
                <w:rFonts w:ascii="Arial" w:hAnsi="Arial" w:cs="Arial"/>
                <w:sz w:val="24"/>
                <w:szCs w:val="24"/>
                <w:lang w:eastAsia="en-US"/>
              </w:rPr>
              <w:t>The surge in applications, including more than 400,000 in June alone, means that there are around 570,000 pending applications. The Government has repeatedly assured those who applied before the deadline that they will have their rights protected until their application is decided, as set out in law, and they have the means to prove their protected rights if needed. </w:t>
            </w:r>
          </w:p>
          <w:p w14:paraId="6FEA29D4" w14:textId="77777777" w:rsidR="006B3390" w:rsidRDefault="006B3390">
            <w:pPr>
              <w:pStyle w:val="NormalWeb"/>
              <w:rPr>
                <w:lang w:eastAsia="en-US"/>
              </w:rPr>
            </w:pPr>
            <w:r>
              <w:rPr>
                <w:rFonts w:ascii="Arial" w:hAnsi="Arial" w:cs="Arial"/>
                <w:sz w:val="24"/>
                <w:szCs w:val="24"/>
                <w:lang w:eastAsia="en-US"/>
              </w:rPr>
              <w:t>A full statistics report highlighting details of applications made by the end of June 2021 will be published in due course.  </w:t>
            </w:r>
          </w:p>
          <w:p w14:paraId="05539132" w14:textId="77777777" w:rsidR="006B3390" w:rsidRDefault="006B3390">
            <w:pPr>
              <w:pStyle w:val="NormalWeb"/>
              <w:rPr>
                <w:lang w:eastAsia="en-US"/>
              </w:rPr>
            </w:pPr>
            <w:r>
              <w:rPr>
                <w:rFonts w:ascii="Arial" w:hAnsi="Arial" w:cs="Arial"/>
                <w:sz w:val="24"/>
                <w:szCs w:val="24"/>
                <w:lang w:eastAsia="en-US"/>
              </w:rPr>
              <w:t xml:space="preserve">The Home Office would like to thank you for all your support throughout the scheme. </w:t>
            </w:r>
          </w:p>
          <w:p w14:paraId="71F5E348" w14:textId="77777777" w:rsidR="006B3390" w:rsidRDefault="006B3390">
            <w:pPr>
              <w:pStyle w:val="NormalWeb"/>
              <w:rPr>
                <w:lang w:eastAsia="en-US"/>
              </w:rPr>
            </w:pPr>
            <w:r>
              <w:rPr>
                <w:rStyle w:val="Strong"/>
                <w:rFonts w:ascii="Arial" w:hAnsi="Arial" w:cs="Arial"/>
                <w:sz w:val="24"/>
                <w:szCs w:val="24"/>
                <w:lang w:eastAsia="en-US"/>
              </w:rPr>
              <w:t>Changes from 1 July 2021</w:t>
            </w:r>
          </w:p>
          <w:p w14:paraId="011D433C" w14:textId="77777777" w:rsidR="006B3390" w:rsidRDefault="006B3390">
            <w:pPr>
              <w:pStyle w:val="NormalWeb"/>
              <w:rPr>
                <w:lang w:eastAsia="en-US"/>
              </w:rPr>
            </w:pPr>
            <w:r>
              <w:rPr>
                <w:rFonts w:ascii="Arial" w:hAnsi="Arial" w:cs="Arial"/>
                <w:sz w:val="24"/>
                <w:szCs w:val="24"/>
                <w:lang w:eastAsia="en-US"/>
              </w:rPr>
              <w:t xml:space="preserve">From Thursday 1 July 2021, EU, EEA and Swiss citizens and their family members are now required to obtain a valid UK immigration status to be in the UK, either through the </w:t>
            </w:r>
            <w:hyperlink r:id="rId7" w:history="1">
              <w:r>
                <w:rPr>
                  <w:rStyle w:val="Hyperlink"/>
                  <w:rFonts w:ascii="Arial" w:hAnsi="Arial" w:cs="Arial"/>
                  <w:sz w:val="24"/>
                  <w:szCs w:val="24"/>
                  <w:lang w:eastAsia="en-US"/>
                </w:rPr>
                <w:t>EUSS</w:t>
              </w:r>
            </w:hyperlink>
            <w:r>
              <w:rPr>
                <w:rFonts w:ascii="Arial" w:hAnsi="Arial" w:cs="Arial"/>
                <w:sz w:val="24"/>
                <w:szCs w:val="24"/>
                <w:lang w:eastAsia="en-US"/>
              </w:rPr>
              <w:t xml:space="preserve">, if they were resident in the UK by 31 December 2020 or are a joining family member, or through a </w:t>
            </w:r>
            <w:hyperlink r:id="rId8" w:history="1">
              <w:r>
                <w:rPr>
                  <w:rStyle w:val="Hyperlink"/>
                  <w:rFonts w:ascii="Arial" w:hAnsi="Arial" w:cs="Arial"/>
                  <w:sz w:val="24"/>
                  <w:szCs w:val="24"/>
                  <w:lang w:eastAsia="en-US"/>
                </w:rPr>
                <w:t>valid visa.</w:t>
              </w:r>
            </w:hyperlink>
          </w:p>
          <w:p w14:paraId="5AA914DC" w14:textId="77777777" w:rsidR="006B3390" w:rsidRDefault="006B3390">
            <w:pPr>
              <w:pStyle w:val="NormalWeb"/>
              <w:rPr>
                <w:lang w:eastAsia="en-US"/>
              </w:rPr>
            </w:pPr>
            <w:r>
              <w:rPr>
                <w:rFonts w:ascii="Arial" w:hAnsi="Arial" w:cs="Arial"/>
                <w:sz w:val="24"/>
                <w:szCs w:val="24"/>
                <w:lang w:eastAsia="en-US"/>
              </w:rPr>
              <w:t xml:space="preserve">EU, EEA and Swiss citizens can expect to be asked to show their </w:t>
            </w:r>
            <w:hyperlink r:id="rId9" w:history="1">
              <w:r>
                <w:rPr>
                  <w:rStyle w:val="Hyperlink"/>
                  <w:rFonts w:ascii="Arial" w:hAnsi="Arial" w:cs="Arial"/>
                  <w:sz w:val="24"/>
                  <w:szCs w:val="24"/>
                  <w:lang w:eastAsia="en-US"/>
                </w:rPr>
                <w:t>digital status</w:t>
              </w:r>
            </w:hyperlink>
            <w:r>
              <w:rPr>
                <w:rFonts w:ascii="Arial" w:hAnsi="Arial" w:cs="Arial"/>
                <w:sz w:val="24"/>
                <w:szCs w:val="24"/>
                <w:lang w:eastAsia="en-US"/>
              </w:rPr>
              <w:t xml:space="preserve"> to prove their right to work or their right to rent to landlords in England. Other departments, such as HMRC, DWP and the NHS, will have automatic access to their status to check a person’s eligibility for free healthcare, </w:t>
            </w:r>
            <w:proofErr w:type="gramStart"/>
            <w:r>
              <w:rPr>
                <w:rFonts w:ascii="Arial" w:hAnsi="Arial" w:cs="Arial"/>
                <w:sz w:val="24"/>
                <w:szCs w:val="24"/>
                <w:lang w:eastAsia="en-US"/>
              </w:rPr>
              <w:t>benefits</w:t>
            </w:r>
            <w:proofErr w:type="gramEnd"/>
            <w:r>
              <w:rPr>
                <w:rFonts w:ascii="Arial" w:hAnsi="Arial" w:cs="Arial"/>
                <w:sz w:val="24"/>
                <w:szCs w:val="24"/>
                <w:lang w:eastAsia="en-US"/>
              </w:rPr>
              <w:t xml:space="preserve"> and access to public funds.</w:t>
            </w:r>
          </w:p>
          <w:p w14:paraId="23922161" w14:textId="77777777" w:rsidR="006B3390" w:rsidRDefault="006B3390">
            <w:pPr>
              <w:pStyle w:val="NormalWeb"/>
              <w:rPr>
                <w:lang w:eastAsia="en-US"/>
              </w:rPr>
            </w:pPr>
            <w:r>
              <w:rPr>
                <w:rStyle w:val="Strong"/>
                <w:rFonts w:ascii="Arial" w:hAnsi="Arial" w:cs="Arial"/>
                <w:sz w:val="24"/>
                <w:szCs w:val="24"/>
                <w:lang w:eastAsia="en-US"/>
              </w:rPr>
              <w:t>Pending applications</w:t>
            </w:r>
          </w:p>
          <w:p w14:paraId="381742EE" w14:textId="77777777" w:rsidR="006B3390" w:rsidRDefault="006B3390">
            <w:pPr>
              <w:pStyle w:val="NormalWeb"/>
              <w:rPr>
                <w:lang w:eastAsia="en-US"/>
              </w:rPr>
            </w:pPr>
            <w:r>
              <w:rPr>
                <w:rFonts w:ascii="Arial" w:hAnsi="Arial" w:cs="Arial"/>
                <w:sz w:val="24"/>
                <w:szCs w:val="24"/>
                <w:lang w:eastAsia="en-US"/>
              </w:rPr>
              <w:lastRenderedPageBreak/>
              <w:t xml:space="preserve">Anyone who made an application by the 30 June 2021 deadline will have their existing rights protected, pending the outcome of their application. Applicants are issued with a Certificate of Application, which can be relied on to evidence their rights. </w:t>
            </w:r>
          </w:p>
          <w:p w14:paraId="6F6F833E" w14:textId="77777777" w:rsidR="006B3390" w:rsidRDefault="006B3390">
            <w:pPr>
              <w:pStyle w:val="NormalWeb"/>
              <w:rPr>
                <w:lang w:eastAsia="en-US"/>
              </w:rPr>
            </w:pPr>
            <w:r>
              <w:rPr>
                <w:rFonts w:ascii="Arial" w:hAnsi="Arial" w:cs="Arial"/>
                <w:sz w:val="24"/>
                <w:szCs w:val="24"/>
                <w:lang w:eastAsia="en-US"/>
              </w:rPr>
              <w:t xml:space="preserve">Their Certificate of Application will be available in their </w:t>
            </w:r>
            <w:hyperlink r:id="rId10" w:history="1">
              <w:r>
                <w:rPr>
                  <w:rStyle w:val="Hyperlink"/>
                  <w:rFonts w:ascii="Arial" w:hAnsi="Arial" w:cs="Arial"/>
                  <w:sz w:val="24"/>
                  <w:szCs w:val="24"/>
                  <w:lang w:eastAsia="en-US"/>
                </w:rPr>
                <w:t>view and prove</w:t>
              </w:r>
            </w:hyperlink>
            <w:r>
              <w:rPr>
                <w:rFonts w:ascii="Arial" w:hAnsi="Arial" w:cs="Arial"/>
                <w:sz w:val="24"/>
                <w:szCs w:val="24"/>
                <w:lang w:eastAsia="en-US"/>
              </w:rPr>
              <w:t xml:space="preserve"> account or will be sent to them by post. Landlords and employers can also use the Home Office view and prove service to confirm protected rights for an individual.</w:t>
            </w:r>
          </w:p>
          <w:p w14:paraId="240AD91C" w14:textId="77777777" w:rsidR="006B3390" w:rsidRDefault="006B3390">
            <w:pPr>
              <w:pStyle w:val="NormalWeb"/>
              <w:rPr>
                <w:lang w:eastAsia="en-US"/>
              </w:rPr>
            </w:pPr>
            <w:r>
              <w:rPr>
                <w:rFonts w:ascii="Arial" w:hAnsi="Arial" w:cs="Arial"/>
                <w:sz w:val="24"/>
                <w:szCs w:val="24"/>
                <w:lang w:eastAsia="en-US"/>
              </w:rPr>
              <w:t xml:space="preserve">The Home Office will contact any applicant where we need further information to progress their application. </w:t>
            </w:r>
          </w:p>
          <w:p w14:paraId="4F37DD1D" w14:textId="77777777" w:rsidR="006B3390" w:rsidRDefault="006B3390">
            <w:pPr>
              <w:pStyle w:val="NormalWeb"/>
              <w:rPr>
                <w:lang w:eastAsia="en-US"/>
              </w:rPr>
            </w:pPr>
            <w:r>
              <w:rPr>
                <w:rStyle w:val="Strong"/>
                <w:rFonts w:ascii="Arial" w:hAnsi="Arial" w:cs="Arial"/>
                <w:sz w:val="24"/>
                <w:szCs w:val="24"/>
                <w:lang w:eastAsia="en-US"/>
              </w:rPr>
              <w:t>Reasonable grounds for late applications</w:t>
            </w:r>
          </w:p>
          <w:p w14:paraId="2D2A887D" w14:textId="77777777" w:rsidR="006B3390" w:rsidRDefault="006B3390">
            <w:pPr>
              <w:pStyle w:val="NormalWeb"/>
              <w:rPr>
                <w:lang w:eastAsia="en-US"/>
              </w:rPr>
            </w:pPr>
            <w:r>
              <w:rPr>
                <w:rFonts w:ascii="Arial" w:hAnsi="Arial" w:cs="Arial"/>
                <w:sz w:val="24"/>
                <w:szCs w:val="24"/>
                <w:lang w:eastAsia="en-US"/>
              </w:rPr>
              <w:t xml:space="preserve">Late applications can be made to the EUSS by EU, EEA and Swiss citizens and their family members who were resident in the UK by 31 December 2020 and who were not able to apply by the deadline, and they should do so as soon as possible. </w:t>
            </w:r>
          </w:p>
          <w:p w14:paraId="53C2ECEA" w14:textId="77777777" w:rsidR="006B3390" w:rsidRDefault="006B3390">
            <w:pPr>
              <w:pStyle w:val="NormalWeb"/>
              <w:rPr>
                <w:lang w:eastAsia="en-US"/>
              </w:rPr>
            </w:pPr>
            <w:r>
              <w:rPr>
                <w:rFonts w:ascii="Arial" w:hAnsi="Arial" w:cs="Arial"/>
                <w:sz w:val="24"/>
                <w:szCs w:val="24"/>
                <w:lang w:eastAsia="en-US"/>
              </w:rPr>
              <w:t xml:space="preserve"> We have published non-exhaustive guidance on reasonable grounds for missing the deadline </w:t>
            </w:r>
            <w:hyperlink r:id="rId11" w:history="1">
              <w:r>
                <w:rPr>
                  <w:rStyle w:val="Hyperlink"/>
                  <w:rFonts w:ascii="Arial" w:hAnsi="Arial" w:cs="Arial"/>
                  <w:sz w:val="24"/>
                  <w:szCs w:val="24"/>
                  <w:lang w:eastAsia="en-US"/>
                </w:rPr>
                <w:t>on GOV.UK</w:t>
              </w:r>
            </w:hyperlink>
            <w:r>
              <w:rPr>
                <w:rFonts w:ascii="Arial" w:hAnsi="Arial" w:cs="Arial"/>
                <w:sz w:val="24"/>
                <w:szCs w:val="24"/>
                <w:lang w:eastAsia="en-US"/>
              </w:rPr>
              <w:t xml:space="preserve">. This sets out a wide range of circumstances which are reasonable grounds for a late application, including, but not limited to: </w:t>
            </w:r>
          </w:p>
          <w:p w14:paraId="7807AE1D" w14:textId="77777777" w:rsidR="006B3390" w:rsidRDefault="006B3390" w:rsidP="001B48E7">
            <w:pPr>
              <w:numPr>
                <w:ilvl w:val="0"/>
                <w:numId w:val="1"/>
              </w:numPr>
              <w:spacing w:before="100" w:beforeAutospacing="1" w:after="100" w:afterAutospacing="1"/>
              <w:rPr>
                <w:lang w:eastAsia="en-US"/>
              </w:rPr>
            </w:pPr>
            <w:r>
              <w:rPr>
                <w:rFonts w:ascii="Arial" w:hAnsi="Arial" w:cs="Arial"/>
                <w:sz w:val="24"/>
                <w:szCs w:val="24"/>
                <w:lang w:eastAsia="en-US"/>
              </w:rPr>
              <w:t xml:space="preserve">Where a parent, guardian or Local Authority has failed to apply on behalf of a child </w:t>
            </w:r>
          </w:p>
          <w:p w14:paraId="59AF77F5" w14:textId="77777777" w:rsidR="006B3390" w:rsidRDefault="006B3390" w:rsidP="001B48E7">
            <w:pPr>
              <w:numPr>
                <w:ilvl w:val="0"/>
                <w:numId w:val="1"/>
              </w:numPr>
              <w:spacing w:before="100" w:beforeAutospacing="1" w:after="100" w:afterAutospacing="1"/>
              <w:rPr>
                <w:lang w:eastAsia="en-US"/>
              </w:rPr>
            </w:pPr>
            <w:r>
              <w:rPr>
                <w:rFonts w:ascii="Arial" w:hAnsi="Arial" w:cs="Arial"/>
                <w:sz w:val="24"/>
                <w:szCs w:val="24"/>
                <w:lang w:eastAsia="en-US"/>
              </w:rPr>
              <w:t xml:space="preserve">Where a person has or had a serious medical condition, which meant they were unable to apply by the relevant deadline </w:t>
            </w:r>
          </w:p>
          <w:p w14:paraId="3B99E1B9" w14:textId="77777777" w:rsidR="006B3390" w:rsidRDefault="006B3390" w:rsidP="001B48E7">
            <w:pPr>
              <w:numPr>
                <w:ilvl w:val="0"/>
                <w:numId w:val="1"/>
              </w:numPr>
              <w:spacing w:before="100" w:beforeAutospacing="1" w:after="100" w:afterAutospacing="1"/>
              <w:rPr>
                <w:lang w:eastAsia="en-US"/>
              </w:rPr>
            </w:pPr>
            <w:r>
              <w:rPr>
                <w:rFonts w:ascii="Arial" w:hAnsi="Arial" w:cs="Arial"/>
                <w:sz w:val="24"/>
                <w:szCs w:val="24"/>
                <w:lang w:eastAsia="en-US"/>
              </w:rPr>
              <w:t xml:space="preserve">If someone is a victim of modern slavery or is in an abusive relationship </w:t>
            </w:r>
          </w:p>
          <w:p w14:paraId="19754961" w14:textId="77777777" w:rsidR="006B3390" w:rsidRDefault="006B3390" w:rsidP="001B48E7">
            <w:pPr>
              <w:numPr>
                <w:ilvl w:val="0"/>
                <w:numId w:val="1"/>
              </w:numPr>
              <w:spacing w:before="100" w:beforeAutospacing="1" w:after="100" w:afterAutospacing="1"/>
              <w:rPr>
                <w:lang w:eastAsia="en-US"/>
              </w:rPr>
            </w:pPr>
            <w:r>
              <w:rPr>
                <w:rFonts w:ascii="Arial" w:hAnsi="Arial" w:cs="Arial"/>
                <w:sz w:val="24"/>
                <w:szCs w:val="24"/>
                <w:lang w:eastAsia="en-US"/>
              </w:rPr>
              <w:t xml:space="preserve">Someone who is isolated, vulnerable or did not have the digital skills to access the application process </w:t>
            </w:r>
          </w:p>
          <w:p w14:paraId="438CD98B" w14:textId="77777777" w:rsidR="006B3390" w:rsidRDefault="006B3390" w:rsidP="001B48E7">
            <w:pPr>
              <w:numPr>
                <w:ilvl w:val="0"/>
                <w:numId w:val="1"/>
              </w:numPr>
              <w:spacing w:before="100" w:beforeAutospacing="1" w:after="100" w:afterAutospacing="1"/>
              <w:rPr>
                <w:lang w:eastAsia="en-US"/>
              </w:rPr>
            </w:pPr>
            <w:r>
              <w:rPr>
                <w:rFonts w:ascii="Arial" w:hAnsi="Arial" w:cs="Arial"/>
                <w:sz w:val="24"/>
                <w:szCs w:val="24"/>
                <w:lang w:eastAsia="en-US"/>
              </w:rPr>
              <w:t xml:space="preserve">Where a person was unable to apply by the relevant deadline for compelling practical or compassionate reasons – including </w:t>
            </w:r>
            <w:proofErr w:type="gramStart"/>
            <w:r>
              <w:rPr>
                <w:rFonts w:ascii="Arial" w:hAnsi="Arial" w:cs="Arial"/>
                <w:sz w:val="24"/>
                <w:szCs w:val="24"/>
                <w:lang w:eastAsia="en-US"/>
              </w:rPr>
              <w:t>in light of</w:t>
            </w:r>
            <w:proofErr w:type="gramEnd"/>
            <w:r>
              <w:rPr>
                <w:rFonts w:ascii="Arial" w:hAnsi="Arial" w:cs="Arial"/>
                <w:sz w:val="24"/>
                <w:szCs w:val="24"/>
                <w:lang w:eastAsia="en-US"/>
              </w:rPr>
              <w:t xml:space="preserve"> the COVID-19 pandemic</w:t>
            </w:r>
          </w:p>
          <w:p w14:paraId="0D827208" w14:textId="77777777" w:rsidR="006B3390" w:rsidRDefault="006B3390">
            <w:pPr>
              <w:pStyle w:val="NormalWeb"/>
              <w:rPr>
                <w:lang w:eastAsia="en-US"/>
              </w:rPr>
            </w:pPr>
            <w:r>
              <w:rPr>
                <w:rFonts w:ascii="Arial" w:hAnsi="Arial" w:cs="Arial"/>
                <w:sz w:val="24"/>
                <w:szCs w:val="24"/>
                <w:lang w:eastAsia="en-US"/>
              </w:rPr>
              <w:t xml:space="preserve">Late applications should be made online at </w:t>
            </w:r>
            <w:hyperlink r:id="rId12" w:history="1">
              <w:r>
                <w:rPr>
                  <w:rStyle w:val="Hyperlink"/>
                  <w:rFonts w:ascii="Arial" w:hAnsi="Arial" w:cs="Arial"/>
                  <w:sz w:val="24"/>
                  <w:szCs w:val="24"/>
                  <w:lang w:eastAsia="en-US"/>
                </w:rPr>
                <w:t>www.gov.uk/eusettlementscheme</w:t>
              </w:r>
            </w:hyperlink>
            <w:r>
              <w:rPr>
                <w:rFonts w:ascii="Arial" w:hAnsi="Arial" w:cs="Arial"/>
                <w:sz w:val="24"/>
                <w:szCs w:val="24"/>
                <w:lang w:eastAsia="en-US"/>
              </w:rPr>
              <w:t xml:space="preserve">  as soon as possible. </w:t>
            </w:r>
          </w:p>
          <w:p w14:paraId="605D49C9" w14:textId="77777777" w:rsidR="006B3390" w:rsidRDefault="006B3390">
            <w:pPr>
              <w:pStyle w:val="NormalWeb"/>
              <w:rPr>
                <w:lang w:eastAsia="en-US"/>
              </w:rPr>
            </w:pPr>
            <w:r>
              <w:rPr>
                <w:rStyle w:val="Strong"/>
                <w:rFonts w:ascii="Arial" w:hAnsi="Arial" w:cs="Arial"/>
                <w:sz w:val="24"/>
                <w:szCs w:val="24"/>
                <w:lang w:eastAsia="en-US"/>
              </w:rPr>
              <w:t xml:space="preserve">Help is still available </w:t>
            </w:r>
          </w:p>
          <w:p w14:paraId="75E49CA7" w14:textId="77777777" w:rsidR="006B3390" w:rsidRDefault="006B3390">
            <w:pPr>
              <w:pStyle w:val="NormalWeb"/>
              <w:rPr>
                <w:lang w:eastAsia="en-US"/>
              </w:rPr>
            </w:pPr>
            <w:r>
              <w:rPr>
                <w:rFonts w:ascii="Arial" w:hAnsi="Arial" w:cs="Arial"/>
                <w:sz w:val="24"/>
                <w:szCs w:val="24"/>
                <w:lang w:eastAsia="en-US"/>
              </w:rPr>
              <w:t xml:space="preserve">The Home Office will continue to ensure that the EUSS is accessible and supports vulnerable applicants with flexibility and sensitivity. Protecting the rights of vulnerable citizens is a fundamental principle of the EUSS. The grant funded network of 72 charities and local authorities across the UK will continue to support vulnerable and hard to reach applicants at least until the end of September 2021. </w:t>
            </w:r>
          </w:p>
          <w:p w14:paraId="5E5A9D70" w14:textId="77777777" w:rsidR="006B3390" w:rsidRDefault="006B3390">
            <w:pPr>
              <w:pStyle w:val="NormalWeb"/>
              <w:rPr>
                <w:lang w:eastAsia="en-US"/>
              </w:rPr>
            </w:pPr>
            <w:r>
              <w:rPr>
                <w:rFonts w:ascii="Arial" w:hAnsi="Arial" w:cs="Arial"/>
                <w:sz w:val="24"/>
                <w:szCs w:val="24"/>
                <w:lang w:eastAsia="en-US"/>
              </w:rPr>
              <w:t xml:space="preserve">To find organisations that offer support in your area please click here: </w:t>
            </w:r>
            <w:hyperlink r:id="rId13" w:history="1">
              <w:r>
                <w:rPr>
                  <w:rStyle w:val="Hyperlink"/>
                  <w:rFonts w:ascii="Arial" w:hAnsi="Arial" w:cs="Arial"/>
                  <w:sz w:val="24"/>
                  <w:szCs w:val="24"/>
                  <w:lang w:eastAsia="en-US"/>
                </w:rPr>
                <w:t>www.gov.uk/help-eu-settlement-scheme</w:t>
              </w:r>
            </w:hyperlink>
          </w:p>
          <w:p w14:paraId="5556CBBF" w14:textId="77777777" w:rsidR="006B3390" w:rsidRDefault="006B3390">
            <w:pPr>
              <w:pStyle w:val="NormalWeb"/>
              <w:rPr>
                <w:lang w:eastAsia="en-US"/>
              </w:rPr>
            </w:pPr>
            <w:r>
              <w:rPr>
                <w:rStyle w:val="Strong"/>
                <w:rFonts w:ascii="Arial" w:hAnsi="Arial" w:cs="Arial"/>
                <w:sz w:val="24"/>
                <w:szCs w:val="24"/>
                <w:lang w:eastAsia="en-US"/>
              </w:rPr>
              <w:t xml:space="preserve">Important information </w:t>
            </w:r>
          </w:p>
          <w:p w14:paraId="7DD3341A" w14:textId="77777777" w:rsidR="006B3390" w:rsidRDefault="006B3390">
            <w:pPr>
              <w:pStyle w:val="NormalWeb"/>
              <w:rPr>
                <w:lang w:eastAsia="en-US"/>
              </w:rPr>
            </w:pPr>
            <w:r>
              <w:rPr>
                <w:rFonts w:ascii="Arial" w:hAnsi="Arial" w:cs="Arial"/>
                <w:sz w:val="24"/>
                <w:szCs w:val="24"/>
                <w:lang w:eastAsia="en-US"/>
              </w:rPr>
              <w:t xml:space="preserve">We have published a new </w:t>
            </w:r>
            <w:hyperlink r:id="rId14" w:history="1">
              <w:r>
                <w:rPr>
                  <w:rStyle w:val="Hyperlink"/>
                  <w:rFonts w:ascii="Arial" w:hAnsi="Arial" w:cs="Arial"/>
                  <w:sz w:val="24"/>
                  <w:szCs w:val="24"/>
                  <w:lang w:eastAsia="en-US"/>
                </w:rPr>
                <w:t>guide for EU, EEA and Swiss citizens on viewing and proving their immigration status</w:t>
              </w:r>
            </w:hyperlink>
            <w:r>
              <w:rPr>
                <w:rFonts w:ascii="Arial" w:hAnsi="Arial" w:cs="Arial"/>
                <w:sz w:val="24"/>
                <w:szCs w:val="24"/>
                <w:lang w:eastAsia="en-US"/>
              </w:rPr>
              <w:t xml:space="preserve"> (</w:t>
            </w:r>
            <w:proofErr w:type="spellStart"/>
            <w:r>
              <w:rPr>
                <w:rFonts w:ascii="Arial" w:hAnsi="Arial" w:cs="Arial"/>
                <w:sz w:val="24"/>
                <w:szCs w:val="24"/>
                <w:lang w:eastAsia="en-US"/>
              </w:rPr>
              <w:t>eVisa</w:t>
            </w:r>
            <w:proofErr w:type="spellEnd"/>
            <w:r>
              <w:rPr>
                <w:rFonts w:ascii="Arial" w:hAnsi="Arial" w:cs="Arial"/>
                <w:sz w:val="24"/>
                <w:szCs w:val="24"/>
                <w:lang w:eastAsia="en-US"/>
              </w:rPr>
              <w:t xml:space="preserve">). The guide explains how people can view and prove their </w:t>
            </w:r>
            <w:r>
              <w:rPr>
                <w:rFonts w:ascii="Arial" w:hAnsi="Arial" w:cs="Arial"/>
                <w:sz w:val="24"/>
                <w:szCs w:val="24"/>
                <w:lang w:eastAsia="en-US"/>
              </w:rPr>
              <w:lastRenderedPageBreak/>
              <w:t xml:space="preserve">immigration status and update their details, what they should expect when crossing the UK border, and how to get help accessing their immigration status. </w:t>
            </w:r>
          </w:p>
          <w:p w14:paraId="2A82C1DB" w14:textId="77777777" w:rsidR="006B3390" w:rsidRDefault="006B3390">
            <w:pPr>
              <w:pStyle w:val="NormalWeb"/>
              <w:rPr>
                <w:lang w:eastAsia="en-US"/>
              </w:rPr>
            </w:pPr>
            <w:r>
              <w:rPr>
                <w:rFonts w:ascii="Arial" w:hAnsi="Arial" w:cs="Arial"/>
                <w:sz w:val="24"/>
                <w:szCs w:val="24"/>
                <w:lang w:eastAsia="en-US"/>
              </w:rPr>
              <w:t xml:space="preserve">It is important that EU, EEA and Swiss citizens and their family members keep their personal details up to date and inform the Home Office if their travel document changes, using the </w:t>
            </w:r>
            <w:hyperlink r:id="rId15" w:history="1">
              <w:r>
                <w:rPr>
                  <w:rStyle w:val="Hyperlink"/>
                  <w:rFonts w:ascii="Arial" w:hAnsi="Arial" w:cs="Arial"/>
                  <w:sz w:val="24"/>
                  <w:szCs w:val="24"/>
                  <w:lang w:eastAsia="en-US"/>
                </w:rPr>
                <w:t>view and prove service.</w:t>
              </w:r>
            </w:hyperlink>
            <w:r>
              <w:rPr>
                <w:rFonts w:ascii="Arial" w:hAnsi="Arial" w:cs="Arial"/>
                <w:sz w:val="24"/>
                <w:szCs w:val="24"/>
                <w:lang w:eastAsia="en-US"/>
              </w:rPr>
              <w:t xml:space="preserve"> </w:t>
            </w:r>
          </w:p>
          <w:p w14:paraId="7553C480" w14:textId="77777777" w:rsidR="006B3390" w:rsidRDefault="006B3390">
            <w:pPr>
              <w:pStyle w:val="NormalWeb"/>
              <w:rPr>
                <w:lang w:eastAsia="en-US"/>
              </w:rPr>
            </w:pPr>
            <w:r>
              <w:rPr>
                <w:rFonts w:ascii="Arial" w:hAnsi="Arial" w:cs="Arial"/>
                <w:sz w:val="24"/>
                <w:szCs w:val="24"/>
                <w:lang w:eastAsia="en-US"/>
              </w:rPr>
              <w:t xml:space="preserve">We will be publishing further information guides for applicants and late applicants on GOV.UK over the coming days. </w:t>
            </w:r>
          </w:p>
          <w:p w14:paraId="29A64974" w14:textId="77777777" w:rsidR="006B3390" w:rsidRDefault="006B3390">
            <w:pPr>
              <w:pStyle w:val="NormalWeb"/>
              <w:rPr>
                <w:lang w:eastAsia="en-US"/>
              </w:rPr>
            </w:pPr>
            <w:r>
              <w:rPr>
                <w:rFonts w:ascii="Arial" w:hAnsi="Arial" w:cs="Arial"/>
                <w:sz w:val="24"/>
                <w:szCs w:val="24"/>
                <w:lang w:eastAsia="en-US"/>
              </w:rPr>
              <w:t>We will continue to send you regular updates on the scheme and the new points-based immigration system.</w:t>
            </w:r>
          </w:p>
          <w:p w14:paraId="6B5CB0CB" w14:textId="77777777" w:rsidR="006B3390" w:rsidRDefault="006B3390">
            <w:pPr>
              <w:pStyle w:val="NormalWeb"/>
              <w:rPr>
                <w:lang w:eastAsia="en-US"/>
              </w:rPr>
            </w:pPr>
            <w:r>
              <w:rPr>
                <w:rFonts w:ascii="Arial" w:hAnsi="Arial" w:cs="Arial"/>
                <w:sz w:val="24"/>
                <w:szCs w:val="24"/>
                <w:lang w:eastAsia="en-US"/>
              </w:rPr>
              <w:t xml:space="preserve">Many thanks again for your continued support. </w:t>
            </w:r>
          </w:p>
        </w:tc>
      </w:tr>
      <w:tr w:rsidR="006B3390" w14:paraId="70442C72" w14:textId="77777777" w:rsidTr="006B3390">
        <w:trPr>
          <w:tblCellSpacing w:w="10" w:type="dxa"/>
        </w:trPr>
        <w:tc>
          <w:tcPr>
            <w:tcW w:w="9599" w:type="dxa"/>
            <w:vAlign w:val="center"/>
            <w:hideMark/>
          </w:tcPr>
          <w:p w14:paraId="72FD08B6" w14:textId="77777777" w:rsidR="006B3390" w:rsidRDefault="006B3390">
            <w:pPr>
              <w:rPr>
                <w:lang w:eastAsia="en-US"/>
              </w:rPr>
            </w:pPr>
            <w:r>
              <w:rPr>
                <w:lang w:eastAsia="en-US"/>
              </w:rPr>
              <w:lastRenderedPageBreak/>
              <w:t> </w:t>
            </w:r>
          </w:p>
        </w:tc>
      </w:tr>
      <w:tr w:rsidR="006B3390" w14:paraId="5B6411C9" w14:textId="77777777" w:rsidTr="006B3390">
        <w:trPr>
          <w:tblCellSpacing w:w="10" w:type="dxa"/>
        </w:trPr>
        <w:tc>
          <w:tcPr>
            <w:tcW w:w="9599" w:type="dxa"/>
            <w:vAlign w:val="center"/>
            <w:hideMark/>
          </w:tcPr>
          <w:p w14:paraId="0269F4D9" w14:textId="77777777" w:rsidR="006B3390" w:rsidRDefault="006B3390">
            <w:pPr>
              <w:pStyle w:val="NormalWeb"/>
              <w:rPr>
                <w:lang w:eastAsia="en-US"/>
              </w:rPr>
            </w:pPr>
            <w:r>
              <w:rPr>
                <w:rFonts w:ascii="Arial" w:hAnsi="Arial" w:cs="Arial"/>
                <w:sz w:val="24"/>
                <w:szCs w:val="24"/>
                <w:lang w:eastAsia="en-US"/>
              </w:rPr>
              <w:t>Kind regards,</w:t>
            </w:r>
          </w:p>
          <w:p w14:paraId="35E2DDCF" w14:textId="77777777" w:rsidR="006B3390" w:rsidRDefault="006B3390">
            <w:pPr>
              <w:pStyle w:val="NormalWeb"/>
              <w:rPr>
                <w:lang w:eastAsia="en-US"/>
              </w:rPr>
            </w:pPr>
            <w:r>
              <w:rPr>
                <w:rFonts w:ascii="Arial" w:hAnsi="Arial" w:cs="Arial"/>
                <w:sz w:val="24"/>
                <w:szCs w:val="24"/>
                <w:lang w:eastAsia="en-US"/>
              </w:rPr>
              <w:t>Home Office Communications</w:t>
            </w:r>
          </w:p>
        </w:tc>
      </w:tr>
      <w:tr w:rsidR="006B3390" w14:paraId="2E3EFD7F" w14:textId="77777777" w:rsidTr="006B3390">
        <w:trPr>
          <w:tblCellSpacing w:w="10" w:type="dxa"/>
        </w:trPr>
        <w:tc>
          <w:tcPr>
            <w:tcW w:w="9599" w:type="dxa"/>
            <w:vAlign w:val="center"/>
            <w:hideMark/>
          </w:tcPr>
          <w:p w14:paraId="290B36B8" w14:textId="77777777" w:rsidR="006B3390" w:rsidRDefault="006B3390">
            <w:pPr>
              <w:rPr>
                <w:lang w:eastAsia="en-US"/>
              </w:rPr>
            </w:pPr>
            <w:r>
              <w:rPr>
                <w:lang w:eastAsia="en-US"/>
              </w:rPr>
              <w:t> </w:t>
            </w:r>
          </w:p>
        </w:tc>
      </w:tr>
      <w:tr w:rsidR="006B3390" w14:paraId="435F5685" w14:textId="77777777" w:rsidTr="006B3390">
        <w:trPr>
          <w:tblCellSpacing w:w="10" w:type="dxa"/>
        </w:trPr>
        <w:tc>
          <w:tcPr>
            <w:tcW w:w="9599" w:type="dxa"/>
            <w:vAlign w:val="center"/>
            <w:hideMark/>
          </w:tcPr>
          <w:p w14:paraId="418FC402" w14:textId="304B6CD9" w:rsidR="006B3390" w:rsidRDefault="006B3390">
            <w:pPr>
              <w:rPr>
                <w:lang w:eastAsia="en-US"/>
              </w:rPr>
            </w:pPr>
            <w:r>
              <w:rPr>
                <w:noProof/>
                <w:lang w:eastAsia="en-US"/>
              </w:rPr>
              <w:drawing>
                <wp:inline distT="0" distB="0" distL="0" distR="0" wp14:anchorId="7D45E840" wp14:editId="57E611F3">
                  <wp:extent cx="5731510" cy="1028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28700"/>
                          </a:xfrm>
                          <a:prstGeom prst="rect">
                            <a:avLst/>
                          </a:prstGeom>
                          <a:noFill/>
                          <a:ln>
                            <a:noFill/>
                          </a:ln>
                        </pic:spPr>
                      </pic:pic>
                    </a:graphicData>
                  </a:graphic>
                </wp:inline>
              </w:drawing>
            </w:r>
          </w:p>
        </w:tc>
      </w:tr>
      <w:tr w:rsidR="006B3390" w14:paraId="45E45FA0" w14:textId="77777777" w:rsidTr="006B3390">
        <w:trPr>
          <w:tblCellSpacing w:w="10" w:type="dxa"/>
        </w:trPr>
        <w:tc>
          <w:tcPr>
            <w:tcW w:w="9599" w:type="dxa"/>
            <w:vAlign w:val="center"/>
            <w:hideMark/>
          </w:tcPr>
          <w:p w14:paraId="3B870555" w14:textId="77777777" w:rsidR="006B3390" w:rsidRDefault="006B3390">
            <w:pPr>
              <w:rPr>
                <w:lang w:eastAsia="en-US"/>
              </w:rPr>
            </w:pPr>
            <w:r>
              <w:rPr>
                <w:lang w:eastAsia="en-US"/>
              </w:rPr>
              <w:t> </w:t>
            </w:r>
          </w:p>
        </w:tc>
      </w:tr>
      <w:tr w:rsidR="006B3390" w14:paraId="4B502827" w14:textId="77777777" w:rsidTr="006B3390">
        <w:trPr>
          <w:tblCellSpacing w:w="10" w:type="dxa"/>
        </w:trPr>
        <w:tc>
          <w:tcPr>
            <w:tcW w:w="9599" w:type="dxa"/>
            <w:vAlign w:val="center"/>
            <w:hideMark/>
          </w:tcPr>
          <w:p w14:paraId="65355D7B" w14:textId="77777777" w:rsidR="006B3390" w:rsidRDefault="006B3390">
            <w:pPr>
              <w:rPr>
                <w:lang w:eastAsia="en-US"/>
              </w:rPr>
            </w:pPr>
            <w:r>
              <w:rPr>
                <w:lang w:eastAsia="en-US"/>
              </w:rPr>
              <w:t> </w:t>
            </w:r>
          </w:p>
        </w:tc>
      </w:tr>
    </w:tbl>
    <w:p w14:paraId="5D212C4B" w14:textId="77777777" w:rsidR="006B3390" w:rsidRDefault="006B3390" w:rsidP="006B3390">
      <w:pPr>
        <w:pStyle w:val="NormalWeb"/>
        <w:rPr>
          <w:rFonts w:ascii="Arial" w:hAnsi="Arial" w:cs="Arial"/>
          <w:color w:val="333333"/>
          <w:sz w:val="16"/>
          <w:szCs w:val="16"/>
        </w:rPr>
      </w:pPr>
      <w:r>
        <w:rPr>
          <w:rFonts w:ascii="Arial" w:hAnsi="Arial" w:cs="Arial"/>
          <w:color w:val="333333"/>
          <w:sz w:val="20"/>
          <w:szCs w:val="20"/>
        </w:rPr>
        <w:t>UNSUBSCRIBE:</w:t>
      </w:r>
      <w:r>
        <w:rPr>
          <w:rFonts w:ascii="Arial" w:hAnsi="Arial" w:cs="Arial"/>
          <w:color w:val="333333"/>
          <w:sz w:val="20"/>
          <w:szCs w:val="20"/>
        </w:rPr>
        <w:br/>
      </w:r>
      <w:hyperlink r:id="rId17" w:history="1">
        <w:r>
          <w:rPr>
            <w:rStyle w:val="Hyperlink"/>
            <w:rFonts w:ascii="Arial" w:hAnsi="Arial" w:cs="Arial"/>
            <w:sz w:val="20"/>
            <w:szCs w:val="20"/>
          </w:rPr>
          <w:t>If you would like to be removed from this email mailing list, click here.</w:t>
        </w:r>
      </w:hyperlink>
    </w:p>
    <w:p w14:paraId="5CAD2810" w14:textId="77777777" w:rsidR="006B3390" w:rsidRDefault="006B3390" w:rsidP="006B3390">
      <w:pPr>
        <w:pStyle w:val="NormalWeb"/>
      </w:pPr>
      <w:r>
        <w:t xml:space="preserve">You can find more information on how we manage data in our </w:t>
      </w:r>
      <w:hyperlink r:id="rId18" w:history="1">
        <w:r>
          <w:rPr>
            <w:rStyle w:val="Hyperlink"/>
          </w:rPr>
          <w:t>Privacy Notice</w:t>
        </w:r>
      </w:hyperlink>
      <w:r>
        <w:t>.</w:t>
      </w:r>
    </w:p>
    <w:p w14:paraId="79E6E073" w14:textId="6CA840D8" w:rsidR="006B3390" w:rsidRDefault="006B3390" w:rsidP="006B3390">
      <w:pPr>
        <w:pStyle w:val="NormalWeb"/>
      </w:pPr>
      <w:r>
        <w:rPr>
          <w:noProof/>
        </w:rPr>
        <mc:AlternateContent>
          <mc:Choice Requires="wps">
            <w:drawing>
              <wp:inline distT="0" distB="0" distL="0" distR="0" wp14:anchorId="7DEBCF57" wp14:editId="70AE6010">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1AB01"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" filled="f" stroked="f">
                <o:lock v:ext="edit" aspectratio="t"/>
                <w10:anchorlock/>
              </v:rect>
            </w:pict>
          </mc:Fallback>
        </mc:AlternateContent>
      </w:r>
    </w:p>
    <w:p w14:paraId="088CD919" w14:textId="77777777" w:rsidR="00072A98" w:rsidRDefault="006B3390"/>
    <w:sectPr w:rsidR="00072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D36E2"/>
    <w:multiLevelType w:val="multilevel"/>
    <w:tmpl w:val="70889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90"/>
    <w:rsid w:val="002B2158"/>
    <w:rsid w:val="006B3390"/>
    <w:rsid w:val="00817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3F70"/>
  <w15:chartTrackingRefBased/>
  <w15:docId w15:val="{D3C1E858-6BEE-49CA-A9ED-17A6ED2D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39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3390"/>
    <w:rPr>
      <w:color w:val="0000FF"/>
      <w:u w:val="single"/>
    </w:rPr>
  </w:style>
  <w:style w:type="paragraph" w:styleId="NormalWeb">
    <w:name w:val="Normal (Web)"/>
    <w:basedOn w:val="Normal"/>
    <w:uiPriority w:val="99"/>
    <w:semiHidden/>
    <w:unhideWhenUsed/>
    <w:rsid w:val="006B3390"/>
    <w:pPr>
      <w:spacing w:before="100" w:beforeAutospacing="1" w:after="100" w:afterAutospacing="1"/>
    </w:pPr>
  </w:style>
  <w:style w:type="character" w:styleId="Strong">
    <w:name w:val="Strong"/>
    <w:basedOn w:val="DefaultParagraphFont"/>
    <w:uiPriority w:val="22"/>
    <w:qFormat/>
    <w:rsid w:val="006B3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5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nse.smartcdn.co.uk/homeofficeR4/mailresponse.asp?tid=24789&amp;em=11249137&amp;turl=https://www.gov.uk/apply-to-come-to-the-uk" TargetMode="External"/><Relationship Id="rId13" Type="http://schemas.openxmlformats.org/officeDocument/2006/relationships/hyperlink" Target="https://response.smartcdn.co.uk/homeofficeR4/mailresponse.asp?tid=24789&amp;em=11249137&amp;turl=https://www.gov.uk/help-eu-settlement-scheme" TargetMode="External"/><Relationship Id="rId18" Type="http://schemas.openxmlformats.org/officeDocument/2006/relationships/hyperlink" Target="https://docs.smartcdn.co.uk/2489_15052018132612.pdf" TargetMode="External"/><Relationship Id="rId3" Type="http://schemas.openxmlformats.org/officeDocument/2006/relationships/settings" Target="settings.xml"/><Relationship Id="rId7" Type="http://schemas.openxmlformats.org/officeDocument/2006/relationships/hyperlink" Target="https://response.smartcdn.co.uk/homeofficeR4/mailresponse.asp?tid=24789&amp;em=11249137&amp;turl=https://www.gov.uk/settled-status-eu-citizens-families" TargetMode="External"/><Relationship Id="rId12" Type="http://schemas.openxmlformats.org/officeDocument/2006/relationships/hyperlink" Target="https://response.smartcdn.co.uk/homeofficeR4/mailresponse.asp?tid=24789&amp;em=11249137&amp;turl=https://www.gov.uk/settled-status-eu-citizens-families" TargetMode="External"/><Relationship Id="rId17" Type="http://schemas.openxmlformats.org/officeDocument/2006/relationships/hyperlink" Target="https://response.smartcdn.co.uk/homeofficeR4/emailresponse.asp?pid=11249137&amp;tid=24789&amp;id=34133470"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ponse.smartcdn.co.uk/homeofficeR4/mailresponse.asp?tid=24789&amp;em=11249137&amp;turl=https://www.gov.uk/government/collections/eu-settlement-scheme-statistics" TargetMode="External"/><Relationship Id="rId11" Type="http://schemas.openxmlformats.org/officeDocument/2006/relationships/hyperlink" Target="https://response.smartcdn.co.uk/homeofficeR4/mailresponse.asp?tid=24789&amp;em=11249137&amp;turl=https://assets.publishing.service.gov.uk/government/uploads/system/uploads/attachment_data/file/988540/main-euss-guidance-v12.0-gov-uk.pdf" TargetMode="External"/><Relationship Id="rId5" Type="http://schemas.openxmlformats.org/officeDocument/2006/relationships/image" Target="media/image1.gif"/><Relationship Id="rId15" Type="http://schemas.openxmlformats.org/officeDocument/2006/relationships/hyperlink" Target="https://response.smartcdn.co.uk/homeofficeR4/mailresponse.asp?tid=24789&amp;em=11249137&amp;turl=https://www.gov.uk/view-prove-immigration-status" TargetMode="External"/><Relationship Id="rId10" Type="http://schemas.openxmlformats.org/officeDocument/2006/relationships/hyperlink" Target="https://response.smartcdn.co.uk/homeofficeR4/mailresponse.asp?tid=24789&amp;em=11249137&amp;turl=https://www.gov.uk/view-prove-immigration-sta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ponse.smartcdn.co.uk/homeofficeR4/mailresponse.asp?tid=24789&amp;em=11249137&amp;turl=https://www.gov.uk/government/publications/view-and-prove-your-immigration-status-evisa" TargetMode="External"/><Relationship Id="rId14" Type="http://schemas.openxmlformats.org/officeDocument/2006/relationships/hyperlink" Target="https://response.smartcdn.co.uk/homeofficeR4/mailresponse.asp?tid=24789&amp;em=11249137&amp;turl=https://www.gov.uk/government/publications/view-and-prove-your-immigration-status-ev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Clive</dc:creator>
  <cp:keywords/>
  <dc:description/>
  <cp:lastModifiedBy>Davis, Clive</cp:lastModifiedBy>
  <cp:revision>1</cp:revision>
  <dcterms:created xsi:type="dcterms:W3CDTF">2021-07-02T13:49:00Z</dcterms:created>
  <dcterms:modified xsi:type="dcterms:W3CDTF">2021-07-02T13:51:00Z</dcterms:modified>
</cp:coreProperties>
</file>