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7CAC0" w14:textId="77777777" w:rsidR="005D08A8" w:rsidRDefault="005D08A8" w:rsidP="00B85427">
      <w:pPr>
        <w:pStyle w:val="subsecthead"/>
        <w:spacing w:before="100" w:beforeAutospacing="1" w:after="100" w:afterAutospacing="1"/>
        <w:ind w:left="284" w:hanging="284"/>
      </w:pPr>
      <w:r>
        <w:t>Housing Benefit Circular</w:t>
      </w:r>
    </w:p>
    <w:p w14:paraId="1D39F54E" w14:textId="77777777" w:rsidR="005D08A8" w:rsidRDefault="005D08A8">
      <w:pPr>
        <w:pStyle w:val="Norm"/>
        <w:spacing w:before="0"/>
        <w:rPr>
          <w:lang w:val="en-GB"/>
        </w:rPr>
      </w:pPr>
      <w:r>
        <w:rPr>
          <w:lang w:val="en-GB"/>
        </w:rPr>
        <w:t>Department for Work and Pensions</w:t>
      </w:r>
    </w:p>
    <w:p w14:paraId="538464BC" w14:textId="77777777" w:rsidR="005D08A8" w:rsidRDefault="009D4299">
      <w:pPr>
        <w:pStyle w:val="Norm"/>
        <w:spacing w:before="0"/>
        <w:rPr>
          <w:lang w:val="en-GB"/>
        </w:rPr>
      </w:pPr>
      <w:r>
        <w:rPr>
          <w:lang w:val="en-GB"/>
        </w:rPr>
        <w:t xml:space="preserve">Caxton House, </w:t>
      </w:r>
      <w:proofErr w:type="spellStart"/>
      <w:smartTag w:uri="urn:schemas-microsoft-com:office:smarttags" w:element="address">
        <w:smartTag w:uri="urn:schemas-microsoft-com:office:smarttags" w:element="Street">
          <w:r>
            <w:rPr>
              <w:lang w:val="en-GB"/>
            </w:rPr>
            <w:t>Tothill</w:t>
          </w:r>
          <w:proofErr w:type="spellEnd"/>
          <w:r>
            <w:rPr>
              <w:lang w:val="en-GB"/>
            </w:rPr>
            <w:t xml:space="preserve"> Street</w:t>
          </w:r>
        </w:smartTag>
        <w:r w:rsidR="005D08A8">
          <w:rPr>
            <w:lang w:val="en-GB"/>
          </w:rPr>
          <w:t xml:space="preserve">, </w:t>
        </w:r>
        <w:smartTag w:uri="urn:schemas-microsoft-com:office:smarttags" w:element="City">
          <w:r w:rsidR="005D08A8">
            <w:rPr>
              <w:lang w:val="en-GB"/>
            </w:rPr>
            <w:t>London</w:t>
          </w:r>
        </w:smartTag>
        <w:r w:rsidR="005D08A8">
          <w:rPr>
            <w:lang w:val="en-GB"/>
          </w:rPr>
          <w:t xml:space="preserve"> </w:t>
        </w:r>
        <w:smartTag w:uri="urn:schemas-microsoft-com:office:smarttags" w:element="PostalCode">
          <w:r>
            <w:rPr>
              <w:lang w:val="en-GB"/>
            </w:rPr>
            <w:t>SW1H 9NA</w:t>
          </w:r>
        </w:smartTag>
      </w:smartTag>
    </w:p>
    <w:p w14:paraId="1919715E" w14:textId="70526DDE" w:rsidR="005D08A8" w:rsidRDefault="005D08A8">
      <w:pPr>
        <w:pStyle w:val="Sectionhead"/>
        <w:jc w:val="right"/>
        <w:rPr>
          <w:lang w:val="en-GB"/>
        </w:rPr>
      </w:pPr>
      <w:r>
        <w:rPr>
          <w:sz w:val="48"/>
          <w:lang w:val="en-GB"/>
        </w:rPr>
        <w:t xml:space="preserve">HB </w:t>
      </w:r>
      <w:r w:rsidR="00EC7FFB">
        <w:rPr>
          <w:sz w:val="48"/>
          <w:lang w:val="en-GB"/>
        </w:rPr>
        <w:t>A7</w:t>
      </w:r>
      <w:r>
        <w:rPr>
          <w:sz w:val="48"/>
          <w:lang w:val="en-GB"/>
        </w:rPr>
        <w:t>/20</w:t>
      </w:r>
      <w:r w:rsidR="00E80CC7">
        <w:rPr>
          <w:sz w:val="48"/>
          <w:lang w:val="en-GB"/>
        </w:rPr>
        <w:t>1</w:t>
      </w:r>
      <w:r w:rsidR="001C39DC">
        <w:rPr>
          <w:sz w:val="48"/>
          <w:lang w:val="en-GB"/>
        </w:rPr>
        <w:t>9</w:t>
      </w:r>
    </w:p>
    <w:p w14:paraId="001EDA4D" w14:textId="77777777" w:rsidR="005D08A8" w:rsidRDefault="005D08A8">
      <w:pPr>
        <w:pStyle w:val="Norm"/>
        <w:tabs>
          <w:tab w:val="left" w:pos="283"/>
        </w:tabs>
        <w:rPr>
          <w:b/>
          <w:lang w:val="en-GB"/>
        </w:rPr>
      </w:pPr>
      <w:r>
        <w:rPr>
          <w:b/>
          <w:lang w:val="en-GB"/>
        </w:rPr>
        <w:t>ADJUDICATION AND OPERATIONS CIRCULAR</w:t>
      </w:r>
      <w:r>
        <w:rPr>
          <w:b/>
          <w:lang w:val="en-GB"/>
        </w:rPr>
        <w:br/>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808"/>
        <w:gridCol w:w="6372"/>
      </w:tblGrid>
      <w:tr w:rsidR="005D08A8" w14:paraId="75EFD50B" w14:textId="77777777">
        <w:trPr>
          <w:trHeight w:val="709"/>
        </w:trPr>
        <w:tc>
          <w:tcPr>
            <w:tcW w:w="2808" w:type="dxa"/>
            <w:vAlign w:val="center"/>
          </w:tcPr>
          <w:p w14:paraId="3AA96376" w14:textId="77777777" w:rsidR="005D08A8" w:rsidRDefault="005D08A8">
            <w:pPr>
              <w:pStyle w:val="Norm"/>
              <w:spacing w:after="60" w:line="360" w:lineRule="auto"/>
              <w:ind w:left="0" w:firstLine="0"/>
              <w:rPr>
                <w:b/>
                <w:bCs/>
                <w:lang w:val="en-GB"/>
              </w:rPr>
            </w:pPr>
            <w:r>
              <w:rPr>
                <w:b/>
                <w:bCs/>
                <w:lang w:val="en-GB"/>
              </w:rPr>
              <w:t>WHO SHOULD READ</w:t>
            </w:r>
          </w:p>
        </w:tc>
        <w:tc>
          <w:tcPr>
            <w:tcW w:w="6372" w:type="dxa"/>
            <w:vAlign w:val="center"/>
          </w:tcPr>
          <w:p w14:paraId="0F597525" w14:textId="77777777" w:rsidR="005D08A8" w:rsidRDefault="005D08A8">
            <w:pPr>
              <w:pStyle w:val="Norm"/>
              <w:tabs>
                <w:tab w:val="clear" w:pos="850"/>
                <w:tab w:val="left" w:pos="3685"/>
              </w:tabs>
              <w:spacing w:line="360" w:lineRule="auto"/>
              <w:ind w:left="0" w:firstLine="0"/>
              <w:rPr>
                <w:lang w:val="en-GB"/>
              </w:rPr>
            </w:pPr>
            <w:r>
              <w:rPr>
                <w:lang w:val="en-GB"/>
              </w:rPr>
              <w:t xml:space="preserve">All Housing Benefit staff </w:t>
            </w:r>
          </w:p>
        </w:tc>
      </w:tr>
      <w:tr w:rsidR="005D08A8" w14:paraId="468CEC5F" w14:textId="77777777">
        <w:trPr>
          <w:trHeight w:val="709"/>
        </w:trPr>
        <w:tc>
          <w:tcPr>
            <w:tcW w:w="2808" w:type="dxa"/>
            <w:vAlign w:val="center"/>
          </w:tcPr>
          <w:p w14:paraId="0CCD0794" w14:textId="77777777" w:rsidR="005D08A8" w:rsidRDefault="005D08A8">
            <w:pPr>
              <w:pStyle w:val="Norm"/>
              <w:spacing w:after="60" w:line="360" w:lineRule="auto"/>
              <w:ind w:left="0" w:firstLine="0"/>
              <w:rPr>
                <w:b/>
                <w:bCs/>
                <w:lang w:val="en-GB"/>
              </w:rPr>
            </w:pPr>
            <w:r>
              <w:rPr>
                <w:b/>
                <w:bCs/>
                <w:lang w:val="en-GB"/>
              </w:rPr>
              <w:t>ACTION</w:t>
            </w:r>
          </w:p>
        </w:tc>
        <w:tc>
          <w:tcPr>
            <w:tcW w:w="6372" w:type="dxa"/>
            <w:vAlign w:val="center"/>
          </w:tcPr>
          <w:p w14:paraId="30A8608E" w14:textId="77777777" w:rsidR="005D08A8" w:rsidRDefault="005D08A8">
            <w:pPr>
              <w:pStyle w:val="Norm"/>
              <w:tabs>
                <w:tab w:val="clear" w:pos="850"/>
                <w:tab w:val="left" w:pos="3685"/>
              </w:tabs>
              <w:spacing w:line="360" w:lineRule="auto"/>
              <w:ind w:left="0" w:firstLine="0"/>
              <w:rPr>
                <w:lang w:val="en-GB"/>
              </w:rPr>
            </w:pPr>
            <w:r>
              <w:rPr>
                <w:lang w:val="en-GB"/>
              </w:rPr>
              <w:t>For information</w:t>
            </w:r>
          </w:p>
        </w:tc>
      </w:tr>
      <w:tr w:rsidR="005D08A8" w14:paraId="0A1E61C1" w14:textId="77777777">
        <w:trPr>
          <w:trHeight w:val="709"/>
        </w:trPr>
        <w:tc>
          <w:tcPr>
            <w:tcW w:w="2808" w:type="dxa"/>
            <w:vAlign w:val="center"/>
          </w:tcPr>
          <w:p w14:paraId="2754C89D" w14:textId="77777777" w:rsidR="005D08A8" w:rsidRDefault="005D08A8">
            <w:pPr>
              <w:pStyle w:val="Norm"/>
              <w:tabs>
                <w:tab w:val="clear" w:pos="850"/>
                <w:tab w:val="left" w:pos="3685"/>
              </w:tabs>
              <w:spacing w:after="60" w:line="360" w:lineRule="auto"/>
              <w:ind w:left="0" w:firstLine="0"/>
              <w:rPr>
                <w:b/>
                <w:bCs/>
                <w:lang w:val="en-GB"/>
              </w:rPr>
            </w:pPr>
            <w:r>
              <w:rPr>
                <w:b/>
                <w:bCs/>
                <w:lang w:val="en-GB"/>
              </w:rPr>
              <w:t>SUBJECT</w:t>
            </w:r>
            <w:r>
              <w:rPr>
                <w:b/>
                <w:bCs/>
                <w:lang w:val="en-GB"/>
              </w:rPr>
              <w:tab/>
            </w:r>
          </w:p>
        </w:tc>
        <w:tc>
          <w:tcPr>
            <w:tcW w:w="6372" w:type="dxa"/>
            <w:vAlign w:val="center"/>
          </w:tcPr>
          <w:p w14:paraId="7AA0E92D" w14:textId="77777777" w:rsidR="002B72EA" w:rsidRDefault="00615055" w:rsidP="00615055">
            <w:pPr>
              <w:pStyle w:val="Norm"/>
              <w:tabs>
                <w:tab w:val="clear" w:pos="850"/>
                <w:tab w:val="left" w:pos="3685"/>
              </w:tabs>
              <w:spacing w:before="120" w:line="276" w:lineRule="auto"/>
              <w:ind w:left="0" w:firstLine="0"/>
              <w:rPr>
                <w:lang w:val="en-GB"/>
              </w:rPr>
            </w:pPr>
            <w:r>
              <w:rPr>
                <w:lang w:val="en-GB"/>
              </w:rPr>
              <w:t>The Social Security (Income-related Benefits) (Updating and Amendment) (EU Exit) Regulations 2019</w:t>
            </w:r>
            <w:r w:rsidR="00695E5E">
              <w:rPr>
                <w:lang w:val="en-GB"/>
              </w:rPr>
              <w:t xml:space="preserve"> </w:t>
            </w:r>
          </w:p>
        </w:tc>
      </w:tr>
    </w:tbl>
    <w:p w14:paraId="4A98ED13" w14:textId="77777777" w:rsidR="005D08A8" w:rsidRDefault="005D08A8">
      <w:pPr>
        <w:pStyle w:val="subsecthead"/>
      </w:pPr>
      <w:r>
        <w:t>Guidance Manual</w:t>
      </w:r>
    </w:p>
    <w:p w14:paraId="67CBC213" w14:textId="77777777" w:rsidR="005D08A8" w:rsidRDefault="005D08A8">
      <w:pPr>
        <w:pStyle w:val="Norm"/>
        <w:ind w:left="0" w:firstLine="0"/>
        <w:rPr>
          <w:lang w:val="en-GB"/>
        </w:rPr>
      </w:pPr>
      <w:r>
        <w:rPr>
          <w:lang w:val="en-GB"/>
        </w:rPr>
        <w:t xml:space="preserve">The information in this circular does affect the content of the HB Guidance Manual. Please annotate this circular number against </w:t>
      </w:r>
      <w:r w:rsidR="00B542CC">
        <w:rPr>
          <w:lang w:val="en-GB"/>
        </w:rPr>
        <w:t xml:space="preserve">paragraph 4.40 of </w:t>
      </w:r>
      <w:r w:rsidR="00F5554C" w:rsidRPr="00F5554C">
        <w:rPr>
          <w:iCs/>
          <w:lang w:val="en-GB"/>
        </w:rPr>
        <w:t>Chapter C4.</w:t>
      </w:r>
    </w:p>
    <w:p w14:paraId="0EE13A62" w14:textId="77777777" w:rsidR="005D08A8" w:rsidRDefault="005D08A8">
      <w:pPr>
        <w:pStyle w:val="subsecthead"/>
      </w:pPr>
      <w:r>
        <w:t>Queries</w:t>
      </w:r>
    </w:p>
    <w:p w14:paraId="71896F28" w14:textId="77777777" w:rsidR="003764EC" w:rsidRDefault="005D08A8" w:rsidP="00EA751E">
      <w:pPr>
        <w:pStyle w:val="frontsub1"/>
        <w:numPr>
          <w:ilvl w:val="0"/>
          <w:numId w:val="0"/>
        </w:numPr>
        <w:tabs>
          <w:tab w:val="left" w:pos="426"/>
        </w:tabs>
        <w:rPr>
          <w:b w:val="0"/>
          <w:bCs w:val="0"/>
        </w:rPr>
      </w:pPr>
      <w:r>
        <w:t xml:space="preserve">extra copies of this circular/copies of previous circulars </w:t>
      </w:r>
      <w:r w:rsidRPr="00EA751E">
        <w:rPr>
          <w:b w:val="0"/>
          <w:bCs w:val="0"/>
        </w:rPr>
        <w:t xml:space="preserve">can be found </w:t>
      </w:r>
      <w:r w:rsidR="00F8093C" w:rsidRPr="00EA751E">
        <w:rPr>
          <w:b w:val="0"/>
          <w:bCs w:val="0"/>
        </w:rPr>
        <w:t xml:space="preserve">at </w:t>
      </w:r>
      <w:hyperlink r:id="rId7" w:history="1">
        <w:r w:rsidR="00EA751E" w:rsidRPr="00C62CF5">
          <w:rPr>
            <w:rStyle w:val="Hyperlink"/>
            <w:b w:val="0"/>
            <w:bCs w:val="0"/>
          </w:rPr>
          <w:t>https://www.gov.uk/government/collections/housing-benefit-for-local-authorities-circulars</w:t>
        </w:r>
      </w:hyperlink>
    </w:p>
    <w:p w14:paraId="407A3C28" w14:textId="77777777" w:rsidR="00EA751E" w:rsidRPr="00EA751E" w:rsidRDefault="00EA751E" w:rsidP="00EA751E">
      <w:pPr>
        <w:pStyle w:val="frontsub1"/>
        <w:numPr>
          <w:ilvl w:val="0"/>
          <w:numId w:val="0"/>
        </w:numPr>
        <w:tabs>
          <w:tab w:val="left" w:pos="426"/>
        </w:tabs>
        <w:rPr>
          <w:b w:val="0"/>
          <w:bCs w:val="0"/>
        </w:rPr>
      </w:pPr>
    </w:p>
    <w:p w14:paraId="2C62904A" w14:textId="77777777" w:rsidR="005D08A8" w:rsidRDefault="005D08A8">
      <w:pPr>
        <w:pStyle w:val="frontsub1"/>
        <w:tabs>
          <w:tab w:val="clear" w:pos="360"/>
          <w:tab w:val="num" w:pos="426"/>
        </w:tabs>
        <w:rPr>
          <w:b w:val="0"/>
          <w:bCs w:val="0"/>
        </w:rPr>
      </w:pPr>
      <w:r>
        <w:rPr>
          <w:b w:val="0"/>
          <w:bCs w:val="0"/>
        </w:rPr>
        <w:t>about the</w:t>
      </w:r>
    </w:p>
    <w:p w14:paraId="5C4644D7" w14:textId="77777777" w:rsidR="005D08A8" w:rsidRDefault="005D08A8">
      <w:pPr>
        <w:pStyle w:val="Sub2"/>
        <w:tabs>
          <w:tab w:val="clear" w:pos="1417"/>
          <w:tab w:val="left" w:pos="709"/>
        </w:tabs>
        <w:ind w:left="709"/>
        <w:rPr>
          <w:lang w:val="en-GB"/>
        </w:rPr>
      </w:pPr>
      <w:r>
        <w:rPr>
          <w:lang w:val="en-GB"/>
        </w:rPr>
        <w:t>-</w:t>
      </w:r>
      <w:r>
        <w:rPr>
          <w:lang w:val="en-GB"/>
        </w:rPr>
        <w:tab/>
      </w:r>
      <w:r>
        <w:rPr>
          <w:b/>
          <w:bCs/>
          <w:lang w:val="en-GB"/>
        </w:rPr>
        <w:t>technical content of this circular</w:t>
      </w:r>
      <w:r>
        <w:rPr>
          <w:lang w:val="en-GB"/>
        </w:rPr>
        <w:t>, contact</w:t>
      </w:r>
    </w:p>
    <w:p w14:paraId="0ECBE3C5" w14:textId="77777777" w:rsidR="005D08A8" w:rsidRDefault="006E0902">
      <w:pPr>
        <w:pStyle w:val="Sub2"/>
        <w:tabs>
          <w:tab w:val="clear" w:pos="1417"/>
          <w:tab w:val="left" w:pos="709"/>
        </w:tabs>
        <w:ind w:left="709"/>
        <w:rPr>
          <w:lang w:val="en-GB"/>
        </w:rPr>
      </w:pPr>
      <w:r>
        <w:rPr>
          <w:lang w:val="en-GB"/>
        </w:rPr>
        <w:tab/>
        <w:t xml:space="preserve">Email: </w:t>
      </w:r>
      <w:hyperlink r:id="rId8" w:history="1">
        <w:r w:rsidRPr="0002392E">
          <w:rPr>
            <w:rStyle w:val="Hyperlink"/>
            <w:lang w:val="en-GB"/>
          </w:rPr>
          <w:t>internationalaccessto.benefitpolicyteam@dwp.gov.uk</w:t>
        </w:r>
      </w:hyperlink>
      <w:r>
        <w:rPr>
          <w:lang w:val="en-GB"/>
        </w:rPr>
        <w:t xml:space="preserve"> </w:t>
      </w:r>
    </w:p>
    <w:p w14:paraId="3EEDB31D" w14:textId="77777777" w:rsidR="005D08A8" w:rsidRDefault="005D08A8" w:rsidP="00A162BF">
      <w:pPr>
        <w:pStyle w:val="Sub2"/>
        <w:numPr>
          <w:ilvl w:val="0"/>
          <w:numId w:val="5"/>
        </w:numPr>
        <w:tabs>
          <w:tab w:val="clear" w:pos="1417"/>
          <w:tab w:val="left" w:pos="709"/>
        </w:tabs>
        <w:rPr>
          <w:lang w:val="en-GB"/>
        </w:rPr>
      </w:pPr>
      <w:r>
        <w:rPr>
          <w:b/>
          <w:bCs/>
          <w:lang w:val="en-GB"/>
        </w:rPr>
        <w:t>distribution of this circular</w:t>
      </w:r>
      <w:r>
        <w:rPr>
          <w:lang w:val="en-GB"/>
        </w:rPr>
        <w:t xml:space="preserve">, contact </w:t>
      </w:r>
    </w:p>
    <w:p w14:paraId="3FFD425E" w14:textId="292A3CB5" w:rsidR="00A162BF" w:rsidRDefault="00A5791B" w:rsidP="00105318">
      <w:pPr>
        <w:pStyle w:val="Sub2"/>
        <w:tabs>
          <w:tab w:val="clear" w:pos="1417"/>
          <w:tab w:val="left" w:pos="709"/>
        </w:tabs>
        <w:ind w:left="709" w:firstLine="0"/>
      </w:pPr>
      <w:hyperlink r:id="rId9" w:history="1">
        <w:r w:rsidR="00A162BF" w:rsidRPr="00CC0FCF">
          <w:rPr>
            <w:rStyle w:val="Hyperlink"/>
          </w:rPr>
          <w:t>housing.correspondenceandpqs@dwp.</w:t>
        </w:r>
        <w:bookmarkStart w:id="0" w:name="_GoBack"/>
        <w:bookmarkEnd w:id="0"/>
        <w:r w:rsidR="00A162BF" w:rsidRPr="00CC0FCF">
          <w:rPr>
            <w:rStyle w:val="Hyperlink"/>
          </w:rPr>
          <w:t>gov.uk</w:t>
        </w:r>
      </w:hyperlink>
    </w:p>
    <w:p w14:paraId="71E7DA06" w14:textId="77777777" w:rsidR="00A162BF" w:rsidRPr="00A162BF" w:rsidRDefault="00A162BF" w:rsidP="00A162BF">
      <w:pPr>
        <w:pStyle w:val="Sub2"/>
        <w:tabs>
          <w:tab w:val="clear" w:pos="1417"/>
          <w:tab w:val="left" w:pos="709"/>
        </w:tabs>
        <w:ind w:left="426" w:firstLine="0"/>
      </w:pPr>
      <w:r>
        <w:t xml:space="preserve"> </w:t>
      </w:r>
    </w:p>
    <w:p w14:paraId="66A41C20" w14:textId="77777777" w:rsidR="00A162BF" w:rsidRPr="00A162BF" w:rsidRDefault="00A162BF" w:rsidP="00A162BF">
      <w:pPr>
        <w:pStyle w:val="Sub2"/>
        <w:tabs>
          <w:tab w:val="clear" w:pos="1417"/>
          <w:tab w:val="left" w:pos="709"/>
        </w:tabs>
        <w:ind w:left="426" w:firstLine="0"/>
        <w:rPr>
          <w:lang w:val="en-GB"/>
        </w:rPr>
      </w:pPr>
    </w:p>
    <w:p w14:paraId="40D7F2E2" w14:textId="77777777" w:rsidR="005D08A8" w:rsidRDefault="00427981">
      <w:pPr>
        <w:pStyle w:val="subsecthead"/>
      </w:pPr>
      <w:r>
        <w:t>Crown Copyright 201</w:t>
      </w:r>
      <w:r w:rsidR="001C39DC">
        <w:t>9</w:t>
      </w:r>
    </w:p>
    <w:p w14:paraId="378D9A39" w14:textId="77777777" w:rsidR="005D08A8" w:rsidRDefault="005D08A8">
      <w:pPr>
        <w:pStyle w:val="Norm"/>
        <w:rPr>
          <w:lang w:val="en-GB"/>
        </w:rPr>
      </w:pPr>
      <w:r>
        <w:rPr>
          <w:lang w:val="en-GB"/>
        </w:rPr>
        <w:t>Recipients may freely reproduce this circular.</w:t>
      </w:r>
      <w:r>
        <w:rPr>
          <w:lang w:val="en-GB"/>
        </w:rPr>
        <w:tab/>
      </w:r>
    </w:p>
    <w:p w14:paraId="4E62598B" w14:textId="77777777" w:rsidR="005D08A8" w:rsidRDefault="005D08A8">
      <w:pPr>
        <w:pStyle w:val="Norm"/>
        <w:rPr>
          <w:lang w:val="en-GB"/>
        </w:rPr>
        <w:sectPr w:rsidR="005D08A8" w:rsidSect="000A1CFB">
          <w:headerReference w:type="default" r:id="rId10"/>
          <w:footerReference w:type="default" r:id="rId11"/>
          <w:type w:val="oddPage"/>
          <w:pgSz w:w="11909" w:h="16834" w:code="9"/>
          <w:pgMar w:top="1440" w:right="1134" w:bottom="1134" w:left="1797" w:header="709" w:footer="709" w:gutter="0"/>
          <w:cols w:space="720"/>
          <w:noEndnote/>
        </w:sectPr>
      </w:pPr>
    </w:p>
    <w:p w14:paraId="2E12055C" w14:textId="77777777" w:rsidR="005D08A8" w:rsidRDefault="005D08A8">
      <w:pPr>
        <w:pStyle w:val="Norm"/>
        <w:rPr>
          <w:lang w:val="en-GB"/>
        </w:rPr>
      </w:pPr>
    </w:p>
    <w:p w14:paraId="0464686D" w14:textId="77777777" w:rsidR="005D08A8" w:rsidRDefault="005D08A8" w:rsidP="002A24E3">
      <w:pPr>
        <w:pStyle w:val="StyleTOCSectionheadNotBoldAuto"/>
      </w:pPr>
      <w:r>
        <w:t>Contents</w:t>
      </w:r>
    </w:p>
    <w:p w14:paraId="1B06D473" w14:textId="77777777" w:rsidR="005D08A8" w:rsidRDefault="005D08A8">
      <w:pPr>
        <w:pStyle w:val="Norm"/>
        <w:tabs>
          <w:tab w:val="right" w:pos="7370"/>
        </w:tabs>
        <w:rPr>
          <w:lang w:val="en-GB"/>
        </w:rPr>
      </w:pPr>
      <w:r>
        <w:rPr>
          <w:lang w:val="en-GB"/>
        </w:rPr>
        <w:tab/>
      </w:r>
      <w:r>
        <w:rPr>
          <w:lang w:val="en-GB"/>
        </w:rPr>
        <w:tab/>
      </w:r>
      <w:r w:rsidR="00EC7FFB">
        <w:rPr>
          <w:lang w:val="en-GB"/>
        </w:rPr>
        <w:tab/>
      </w:r>
      <w:r>
        <w:rPr>
          <w:lang w:val="en-GB"/>
        </w:rPr>
        <w:t>para</w:t>
      </w:r>
    </w:p>
    <w:p w14:paraId="7010F1C0" w14:textId="77777777" w:rsidR="00735207" w:rsidRDefault="00735207">
      <w:pPr>
        <w:pStyle w:val="Sectionhead"/>
        <w:rPr>
          <w:lang w:val="en-GB"/>
        </w:rPr>
      </w:pPr>
    </w:p>
    <w:p w14:paraId="551758DF" w14:textId="77777777" w:rsidR="00735207" w:rsidRPr="00A47A17" w:rsidRDefault="00735207" w:rsidP="00735207">
      <w:pPr>
        <w:pStyle w:val="TOCSectionhead"/>
        <w:rPr>
          <w:bCs/>
          <w:color w:val="auto"/>
        </w:rPr>
      </w:pPr>
      <w:r>
        <w:rPr>
          <w:color w:val="auto"/>
        </w:rPr>
        <w:t>The Social Security (Income-related Benefits) (Updating and Amendment) (EU Exit) Regulations 2019</w:t>
      </w:r>
    </w:p>
    <w:p w14:paraId="7BB9423E" w14:textId="77777777" w:rsidR="00735207" w:rsidRPr="003A41E8" w:rsidRDefault="00735207" w:rsidP="00735207">
      <w:pPr>
        <w:pStyle w:val="TOCSubsecthead"/>
        <w:ind w:left="0"/>
      </w:pPr>
    </w:p>
    <w:p w14:paraId="0D2F3F8F" w14:textId="77777777" w:rsidR="00735207" w:rsidRPr="00125046" w:rsidRDefault="009B73E8" w:rsidP="00735207">
      <w:pPr>
        <w:tabs>
          <w:tab w:val="right" w:leader="dot" w:pos="8688"/>
        </w:tabs>
        <w:spacing w:before="60"/>
        <w:rPr>
          <w:rFonts w:ascii="Arial" w:hAnsi="Arial" w:cs="Arial"/>
          <w:sz w:val="24"/>
          <w:szCs w:val="24"/>
        </w:rPr>
      </w:pPr>
      <w:r>
        <w:rPr>
          <w:rFonts w:ascii="Arial" w:hAnsi="Arial" w:cs="Arial"/>
          <w:sz w:val="24"/>
          <w:szCs w:val="24"/>
        </w:rPr>
        <w:t>Introduction</w:t>
      </w:r>
      <w:r>
        <w:rPr>
          <w:rFonts w:ascii="Arial" w:hAnsi="Arial" w:cs="Arial"/>
          <w:sz w:val="24"/>
          <w:szCs w:val="24"/>
        </w:rPr>
        <w:tab/>
        <w:t>1</w:t>
      </w:r>
    </w:p>
    <w:p w14:paraId="68A60E50" w14:textId="69A5630B" w:rsidR="00735207" w:rsidRPr="00125046" w:rsidRDefault="009B73E8" w:rsidP="00735207">
      <w:pPr>
        <w:tabs>
          <w:tab w:val="right" w:leader="dot" w:pos="8688"/>
        </w:tabs>
        <w:spacing w:before="60"/>
        <w:rPr>
          <w:rFonts w:ascii="Arial" w:hAnsi="Arial" w:cs="Arial"/>
          <w:sz w:val="24"/>
          <w:szCs w:val="24"/>
        </w:rPr>
      </w:pPr>
      <w:r>
        <w:rPr>
          <w:rFonts w:ascii="Arial" w:hAnsi="Arial" w:cs="Arial"/>
          <w:sz w:val="24"/>
          <w:szCs w:val="24"/>
        </w:rPr>
        <w:t>EUSS</w:t>
      </w:r>
      <w:r w:rsidR="00735207" w:rsidRPr="00125046">
        <w:rPr>
          <w:rFonts w:ascii="Arial" w:hAnsi="Arial" w:cs="Arial"/>
          <w:sz w:val="24"/>
          <w:szCs w:val="24"/>
        </w:rPr>
        <w:tab/>
      </w:r>
      <w:r>
        <w:rPr>
          <w:rFonts w:ascii="Arial" w:hAnsi="Arial" w:cs="Arial"/>
          <w:sz w:val="24"/>
          <w:szCs w:val="24"/>
        </w:rPr>
        <w:t>7</w:t>
      </w:r>
    </w:p>
    <w:p w14:paraId="45800A33" w14:textId="00FD58C1" w:rsidR="009B73E8" w:rsidRDefault="009B73E8" w:rsidP="009B73E8">
      <w:pPr>
        <w:tabs>
          <w:tab w:val="right" w:leader="dot" w:pos="8688"/>
        </w:tabs>
        <w:spacing w:before="60"/>
        <w:rPr>
          <w:rFonts w:ascii="Arial" w:hAnsi="Arial" w:cs="Arial"/>
          <w:sz w:val="24"/>
          <w:szCs w:val="24"/>
        </w:rPr>
      </w:pPr>
      <w:r>
        <w:rPr>
          <w:rFonts w:ascii="Arial" w:hAnsi="Arial" w:cs="Arial"/>
          <w:sz w:val="24"/>
          <w:szCs w:val="24"/>
        </w:rPr>
        <w:t>Settled status –</w:t>
      </w:r>
      <w:r w:rsidR="002E5AAE">
        <w:rPr>
          <w:rFonts w:ascii="Arial" w:hAnsi="Arial" w:cs="Arial"/>
          <w:sz w:val="24"/>
          <w:szCs w:val="24"/>
        </w:rPr>
        <w:t xml:space="preserve"> </w:t>
      </w:r>
      <w:r>
        <w:rPr>
          <w:rFonts w:ascii="Arial" w:hAnsi="Arial" w:cs="Arial"/>
          <w:sz w:val="24"/>
          <w:szCs w:val="24"/>
        </w:rPr>
        <w:t>ILR</w:t>
      </w:r>
      <w:r w:rsidRPr="00125046">
        <w:rPr>
          <w:rFonts w:ascii="Arial" w:hAnsi="Arial" w:cs="Arial"/>
          <w:sz w:val="24"/>
          <w:szCs w:val="24"/>
        </w:rPr>
        <w:tab/>
      </w:r>
      <w:r w:rsidR="00F91853">
        <w:rPr>
          <w:rFonts w:ascii="Arial" w:hAnsi="Arial" w:cs="Arial"/>
          <w:sz w:val="24"/>
          <w:szCs w:val="24"/>
        </w:rPr>
        <w:t>9</w:t>
      </w:r>
    </w:p>
    <w:p w14:paraId="5C141906" w14:textId="1E8ABB5E" w:rsidR="009B73E8" w:rsidRPr="00125046" w:rsidRDefault="009B73E8" w:rsidP="009B73E8">
      <w:pPr>
        <w:tabs>
          <w:tab w:val="right" w:leader="dot" w:pos="8688"/>
        </w:tabs>
        <w:spacing w:before="60"/>
        <w:rPr>
          <w:rFonts w:ascii="Arial" w:hAnsi="Arial" w:cs="Arial"/>
          <w:sz w:val="24"/>
          <w:szCs w:val="24"/>
        </w:rPr>
      </w:pPr>
      <w:r>
        <w:rPr>
          <w:rFonts w:ascii="Arial" w:hAnsi="Arial" w:cs="Arial"/>
          <w:sz w:val="24"/>
          <w:szCs w:val="24"/>
        </w:rPr>
        <w:t>Pre-settled status –</w:t>
      </w:r>
      <w:r w:rsidR="002E5AAE">
        <w:rPr>
          <w:rFonts w:ascii="Arial" w:hAnsi="Arial" w:cs="Arial"/>
          <w:sz w:val="24"/>
          <w:szCs w:val="24"/>
        </w:rPr>
        <w:t xml:space="preserve"> </w:t>
      </w:r>
      <w:r>
        <w:rPr>
          <w:rFonts w:ascii="Arial" w:hAnsi="Arial" w:cs="Arial"/>
          <w:sz w:val="24"/>
          <w:szCs w:val="24"/>
        </w:rPr>
        <w:t>LLR</w:t>
      </w:r>
      <w:r w:rsidRPr="00125046">
        <w:rPr>
          <w:rFonts w:ascii="Arial" w:hAnsi="Arial" w:cs="Arial"/>
          <w:sz w:val="24"/>
          <w:szCs w:val="24"/>
        </w:rPr>
        <w:tab/>
      </w:r>
      <w:r w:rsidR="00F91853">
        <w:rPr>
          <w:rFonts w:ascii="Arial" w:hAnsi="Arial" w:cs="Arial"/>
          <w:sz w:val="24"/>
          <w:szCs w:val="24"/>
        </w:rPr>
        <w:t>11</w:t>
      </w:r>
    </w:p>
    <w:p w14:paraId="0A10D47F" w14:textId="77777777" w:rsidR="009B73E8" w:rsidRPr="00125046" w:rsidRDefault="009B73E8" w:rsidP="009B73E8">
      <w:pPr>
        <w:tabs>
          <w:tab w:val="right" w:leader="dot" w:pos="8688"/>
        </w:tabs>
        <w:spacing w:before="60"/>
        <w:rPr>
          <w:rFonts w:ascii="Arial" w:hAnsi="Arial" w:cs="Arial"/>
          <w:sz w:val="24"/>
          <w:szCs w:val="24"/>
        </w:rPr>
      </w:pPr>
      <w:r>
        <w:rPr>
          <w:rFonts w:ascii="Arial" w:hAnsi="Arial" w:cs="Arial"/>
          <w:sz w:val="24"/>
          <w:szCs w:val="24"/>
        </w:rPr>
        <w:t>‘Zambrano’ carers</w:t>
      </w:r>
      <w:r w:rsidRPr="00125046">
        <w:rPr>
          <w:rFonts w:ascii="Arial" w:hAnsi="Arial" w:cs="Arial"/>
          <w:sz w:val="24"/>
          <w:szCs w:val="24"/>
        </w:rPr>
        <w:tab/>
      </w:r>
      <w:r w:rsidR="00F91853">
        <w:rPr>
          <w:rFonts w:ascii="Arial" w:hAnsi="Arial" w:cs="Arial"/>
          <w:sz w:val="24"/>
          <w:szCs w:val="24"/>
        </w:rPr>
        <w:t>14</w:t>
      </w:r>
    </w:p>
    <w:p w14:paraId="42B4D365" w14:textId="77777777" w:rsidR="009B73E8" w:rsidRPr="00125046" w:rsidRDefault="009B73E8" w:rsidP="009B73E8">
      <w:pPr>
        <w:tabs>
          <w:tab w:val="right" w:leader="dot" w:pos="8688"/>
        </w:tabs>
        <w:spacing w:before="60"/>
        <w:rPr>
          <w:rFonts w:ascii="Arial" w:hAnsi="Arial" w:cs="Arial"/>
          <w:sz w:val="24"/>
          <w:szCs w:val="24"/>
        </w:rPr>
      </w:pPr>
    </w:p>
    <w:p w14:paraId="2E1E9991" w14:textId="77777777" w:rsidR="009B73E8" w:rsidRPr="00125046" w:rsidRDefault="009B73E8" w:rsidP="009B73E8">
      <w:pPr>
        <w:tabs>
          <w:tab w:val="right" w:leader="dot" w:pos="8688"/>
        </w:tabs>
        <w:spacing w:before="60"/>
        <w:rPr>
          <w:rFonts w:ascii="Arial" w:hAnsi="Arial" w:cs="Arial"/>
          <w:sz w:val="24"/>
          <w:szCs w:val="24"/>
        </w:rPr>
      </w:pPr>
    </w:p>
    <w:p w14:paraId="66F61B47" w14:textId="77777777" w:rsidR="009B73E8" w:rsidRDefault="009B73E8">
      <w:pPr>
        <w:pStyle w:val="Sectionhead"/>
        <w:rPr>
          <w:lang w:val="en-GB"/>
        </w:rPr>
        <w:sectPr w:rsidR="009B73E8" w:rsidSect="000A1CFB">
          <w:headerReference w:type="default" r:id="rId12"/>
          <w:footerReference w:type="default" r:id="rId13"/>
          <w:pgSz w:w="11909" w:h="16834" w:code="9"/>
          <w:pgMar w:top="1440" w:right="1134" w:bottom="1134" w:left="1797" w:header="709" w:footer="709" w:gutter="0"/>
          <w:cols w:space="720"/>
          <w:noEndnote/>
        </w:sectPr>
      </w:pPr>
    </w:p>
    <w:p w14:paraId="0A815733" w14:textId="77777777" w:rsidR="00C82CAE" w:rsidRPr="003707CB" w:rsidRDefault="00C82CAE" w:rsidP="00C82CAE">
      <w:pPr>
        <w:pStyle w:val="Sectionhead"/>
        <w:rPr>
          <w:lang w:val="en-GB"/>
        </w:rPr>
      </w:pPr>
      <w:r>
        <w:rPr>
          <w:lang w:val="en-GB"/>
        </w:rPr>
        <w:lastRenderedPageBreak/>
        <w:t>The Social Security (Income-related Benefits) (Updating and Amendment) (EU Exit) Regulations 2019</w:t>
      </w:r>
    </w:p>
    <w:p w14:paraId="1EFB024A" w14:textId="77777777" w:rsidR="00C82CAE" w:rsidRPr="003707CB" w:rsidRDefault="00C82CAE" w:rsidP="00C82CAE">
      <w:pPr>
        <w:pStyle w:val="Sectionhead"/>
        <w:rPr>
          <w:sz w:val="28"/>
          <w:szCs w:val="28"/>
          <w:lang w:val="en-GB"/>
        </w:rPr>
      </w:pPr>
      <w:r>
        <w:rPr>
          <w:sz w:val="28"/>
          <w:szCs w:val="28"/>
          <w:lang w:val="en-GB"/>
        </w:rPr>
        <w:t>Introduction</w:t>
      </w:r>
    </w:p>
    <w:p w14:paraId="1E93A4A8" w14:textId="4B42D6A2" w:rsidR="00C82CAE" w:rsidRPr="00615055" w:rsidRDefault="00C82CAE" w:rsidP="00C82CAE">
      <w:pPr>
        <w:pStyle w:val="Sectionhead"/>
        <w:numPr>
          <w:ilvl w:val="0"/>
          <w:numId w:val="11"/>
        </w:numPr>
        <w:tabs>
          <w:tab w:val="clear" w:pos="360"/>
          <w:tab w:val="num" w:pos="567"/>
        </w:tabs>
        <w:spacing w:before="100" w:beforeAutospacing="1" w:line="240" w:lineRule="atLeast"/>
        <w:ind w:left="567" w:hanging="567"/>
        <w:rPr>
          <w:b w:val="0"/>
          <w:bCs/>
          <w:color w:val="000000"/>
          <w:sz w:val="24"/>
          <w:szCs w:val="24"/>
          <w:lang w:val="en-GB"/>
        </w:rPr>
      </w:pPr>
      <w:r>
        <w:rPr>
          <w:b w:val="0"/>
          <w:bCs/>
          <w:color w:val="000000"/>
          <w:sz w:val="24"/>
          <w:szCs w:val="24"/>
          <w:lang w:val="en-GB"/>
        </w:rPr>
        <w:t>The Social Security (Income-related Benefits) (Updating and Amendment) (EU Exit) Regulations 2019 (SI 2019/872) were laid on 16 April 2019 and c</w:t>
      </w:r>
      <w:r w:rsidR="00FA76D3">
        <w:rPr>
          <w:b w:val="0"/>
          <w:bCs/>
          <w:color w:val="000000"/>
          <w:sz w:val="24"/>
          <w:szCs w:val="24"/>
          <w:lang w:val="en-GB"/>
        </w:rPr>
        <w:t>a</w:t>
      </w:r>
      <w:r>
        <w:rPr>
          <w:b w:val="0"/>
          <w:bCs/>
          <w:color w:val="000000"/>
          <w:sz w:val="24"/>
          <w:szCs w:val="24"/>
          <w:lang w:val="en-GB"/>
        </w:rPr>
        <w:t xml:space="preserve">me into force on 7 May 2019. </w:t>
      </w:r>
    </w:p>
    <w:p w14:paraId="2120775B" w14:textId="5E30E000" w:rsidR="00C82CAE" w:rsidRDefault="00C82CAE" w:rsidP="00C82CAE">
      <w:pPr>
        <w:pStyle w:val="Sectionhead"/>
        <w:numPr>
          <w:ilvl w:val="0"/>
          <w:numId w:val="11"/>
        </w:numPr>
        <w:tabs>
          <w:tab w:val="clear" w:pos="360"/>
          <w:tab w:val="num" w:pos="567"/>
        </w:tabs>
        <w:spacing w:before="100" w:beforeAutospacing="1" w:line="240" w:lineRule="atLeast"/>
        <w:ind w:left="567" w:hanging="567"/>
        <w:rPr>
          <w:b w:val="0"/>
          <w:bCs/>
          <w:color w:val="000000"/>
          <w:sz w:val="24"/>
          <w:szCs w:val="24"/>
          <w:lang w:val="en-GB"/>
        </w:rPr>
      </w:pPr>
      <w:r>
        <w:rPr>
          <w:b w:val="0"/>
          <w:bCs/>
          <w:color w:val="000000"/>
          <w:sz w:val="24"/>
          <w:szCs w:val="24"/>
          <w:lang w:val="en-GB"/>
        </w:rPr>
        <w:t xml:space="preserve">These regulations make amendments to several pieces of benefits legislation, including regulation 10 of the Housing Benefit Regulations 2006 (SI 2006/213) and the Housing Benefit (persons who have attained the qualifying age for state pension credit) Regulations 2006 (SI 2006/214). This is as a result of a new </w:t>
      </w:r>
      <w:r w:rsidR="00264E8A">
        <w:rPr>
          <w:b w:val="0"/>
          <w:bCs/>
          <w:color w:val="000000"/>
          <w:sz w:val="24"/>
          <w:szCs w:val="24"/>
          <w:lang w:val="en-GB"/>
        </w:rPr>
        <w:t>basis of stay</w:t>
      </w:r>
      <w:r>
        <w:rPr>
          <w:b w:val="0"/>
          <w:bCs/>
          <w:color w:val="000000"/>
          <w:sz w:val="24"/>
          <w:szCs w:val="24"/>
          <w:lang w:val="en-GB"/>
        </w:rPr>
        <w:t xml:space="preserve"> being created for EEA</w:t>
      </w:r>
      <w:r w:rsidR="00EC7FFB">
        <w:rPr>
          <w:b w:val="0"/>
          <w:bCs/>
          <w:color w:val="000000"/>
          <w:sz w:val="24"/>
          <w:szCs w:val="24"/>
          <w:lang w:val="en-GB"/>
        </w:rPr>
        <w:t xml:space="preserve"> (European Economic Area)</w:t>
      </w:r>
      <w:r>
        <w:rPr>
          <w:b w:val="0"/>
          <w:bCs/>
          <w:color w:val="000000"/>
          <w:sz w:val="24"/>
          <w:szCs w:val="24"/>
          <w:lang w:val="en-GB"/>
        </w:rPr>
        <w:t xml:space="preserve"> </w:t>
      </w:r>
      <w:r w:rsidR="00264E8A">
        <w:rPr>
          <w:b w:val="0"/>
          <w:bCs/>
          <w:color w:val="000000"/>
          <w:sz w:val="24"/>
          <w:szCs w:val="24"/>
          <w:lang w:val="en-GB"/>
        </w:rPr>
        <w:t xml:space="preserve">and Swiss </w:t>
      </w:r>
      <w:r>
        <w:rPr>
          <w:b w:val="0"/>
          <w:bCs/>
          <w:color w:val="000000"/>
          <w:sz w:val="24"/>
          <w:szCs w:val="24"/>
          <w:lang w:val="en-GB"/>
        </w:rPr>
        <w:t>nationals under the EU Settlement Scheme (EUSS).</w:t>
      </w:r>
    </w:p>
    <w:p w14:paraId="758FABFB" w14:textId="37C0196A" w:rsidR="003619B9" w:rsidRDefault="00C82CAE" w:rsidP="003619B9">
      <w:pPr>
        <w:pStyle w:val="Sectionhead"/>
        <w:numPr>
          <w:ilvl w:val="0"/>
          <w:numId w:val="11"/>
        </w:numPr>
        <w:tabs>
          <w:tab w:val="clear" w:pos="360"/>
          <w:tab w:val="num" w:pos="567"/>
        </w:tabs>
        <w:spacing w:before="100" w:beforeAutospacing="1" w:line="240" w:lineRule="atLeast"/>
        <w:ind w:left="567" w:hanging="567"/>
        <w:rPr>
          <w:b w:val="0"/>
          <w:bCs/>
          <w:color w:val="000000"/>
          <w:sz w:val="24"/>
          <w:szCs w:val="24"/>
          <w:lang w:val="en-GB"/>
        </w:rPr>
      </w:pPr>
      <w:r>
        <w:rPr>
          <w:b w:val="0"/>
          <w:bCs/>
          <w:color w:val="000000"/>
          <w:sz w:val="24"/>
          <w:szCs w:val="24"/>
          <w:lang w:val="en-GB"/>
        </w:rPr>
        <w:t>The amendments clarify that limited leave</w:t>
      </w:r>
      <w:r w:rsidR="00BD43C5">
        <w:rPr>
          <w:b w:val="0"/>
          <w:bCs/>
          <w:color w:val="000000"/>
          <w:sz w:val="24"/>
          <w:szCs w:val="24"/>
          <w:lang w:val="en-GB"/>
        </w:rPr>
        <w:t xml:space="preserve"> to enter or remain granted under the EU</w:t>
      </w:r>
      <w:r w:rsidR="00EC7FFB">
        <w:rPr>
          <w:b w:val="0"/>
          <w:bCs/>
          <w:color w:val="000000"/>
          <w:sz w:val="24"/>
          <w:szCs w:val="24"/>
          <w:lang w:val="en-GB"/>
        </w:rPr>
        <w:t>SS</w:t>
      </w:r>
      <w:r w:rsidR="00BD43C5">
        <w:rPr>
          <w:b w:val="0"/>
          <w:bCs/>
          <w:color w:val="000000"/>
          <w:sz w:val="24"/>
          <w:szCs w:val="24"/>
          <w:lang w:val="en-GB"/>
        </w:rPr>
        <w:t>, which is also referred to as pre-settled status, is not a relevant right to reside for the purposes of the Habitual Residence Test (HRT).</w:t>
      </w:r>
      <w:r w:rsidR="002E5AAE">
        <w:rPr>
          <w:b w:val="0"/>
          <w:bCs/>
          <w:color w:val="000000"/>
          <w:sz w:val="24"/>
          <w:szCs w:val="24"/>
          <w:lang w:val="en-GB"/>
        </w:rPr>
        <w:t xml:space="preserve"> All further references to </w:t>
      </w:r>
      <w:r w:rsidR="003E01F4">
        <w:rPr>
          <w:b w:val="0"/>
          <w:bCs/>
          <w:color w:val="000000"/>
          <w:sz w:val="24"/>
          <w:szCs w:val="24"/>
          <w:lang w:val="en-GB"/>
        </w:rPr>
        <w:t>limited leave to remain (</w:t>
      </w:r>
      <w:r w:rsidR="002E5AAE">
        <w:rPr>
          <w:b w:val="0"/>
          <w:bCs/>
          <w:color w:val="000000"/>
          <w:sz w:val="24"/>
          <w:szCs w:val="24"/>
          <w:lang w:val="en-GB"/>
        </w:rPr>
        <w:t>LLR</w:t>
      </w:r>
      <w:r w:rsidR="003E01F4">
        <w:rPr>
          <w:b w:val="0"/>
          <w:bCs/>
          <w:color w:val="000000"/>
          <w:sz w:val="24"/>
          <w:szCs w:val="24"/>
          <w:lang w:val="en-GB"/>
        </w:rPr>
        <w:t>)</w:t>
      </w:r>
      <w:r w:rsidR="002E5AAE">
        <w:rPr>
          <w:b w:val="0"/>
          <w:bCs/>
          <w:color w:val="000000"/>
          <w:sz w:val="24"/>
          <w:szCs w:val="24"/>
          <w:lang w:val="en-GB"/>
        </w:rPr>
        <w:t xml:space="preserve"> within this circular should be read as also including limited leave to enter.</w:t>
      </w:r>
    </w:p>
    <w:p w14:paraId="23C5B8CB" w14:textId="5F9BDBAF" w:rsidR="00BD43C5" w:rsidRPr="003A0D29" w:rsidRDefault="003619B9" w:rsidP="003A0D29">
      <w:pPr>
        <w:pStyle w:val="Sectionhead"/>
        <w:numPr>
          <w:ilvl w:val="0"/>
          <w:numId w:val="11"/>
        </w:numPr>
        <w:tabs>
          <w:tab w:val="clear" w:pos="360"/>
          <w:tab w:val="num" w:pos="567"/>
        </w:tabs>
        <w:spacing w:before="100" w:beforeAutospacing="1" w:line="240" w:lineRule="atLeast"/>
        <w:ind w:left="567" w:hanging="567"/>
        <w:rPr>
          <w:b w:val="0"/>
          <w:bCs/>
          <w:color w:val="000000"/>
          <w:sz w:val="24"/>
          <w:szCs w:val="24"/>
          <w:lang w:val="en-GB"/>
        </w:rPr>
      </w:pPr>
      <w:r w:rsidRPr="003619B9">
        <w:rPr>
          <w:b w:val="0"/>
          <w:bCs/>
          <w:color w:val="000000"/>
          <w:sz w:val="24"/>
          <w:szCs w:val="24"/>
          <w:lang w:val="en-GB"/>
        </w:rPr>
        <w:t>Pre-settled status</w:t>
      </w:r>
      <w:r w:rsidR="00BD43C5" w:rsidRPr="003619B9">
        <w:rPr>
          <w:b w:val="0"/>
          <w:bCs/>
          <w:color w:val="000000"/>
          <w:sz w:val="24"/>
          <w:szCs w:val="24"/>
          <w:lang w:val="en-GB"/>
        </w:rPr>
        <w:t xml:space="preserve"> is not a relevant right to reside</w:t>
      </w:r>
      <w:r w:rsidRPr="003619B9">
        <w:rPr>
          <w:b w:val="0"/>
          <w:bCs/>
          <w:color w:val="000000"/>
          <w:sz w:val="24"/>
          <w:szCs w:val="24"/>
          <w:lang w:val="en-GB"/>
        </w:rPr>
        <w:t xml:space="preserve"> for Housing Benefit</w:t>
      </w:r>
      <w:r w:rsidR="00EC7FFB">
        <w:rPr>
          <w:b w:val="0"/>
          <w:bCs/>
          <w:color w:val="000000"/>
          <w:sz w:val="24"/>
          <w:szCs w:val="24"/>
          <w:lang w:val="en-GB"/>
        </w:rPr>
        <w:t xml:space="preserve"> (HB)</w:t>
      </w:r>
      <w:r w:rsidRPr="003619B9">
        <w:rPr>
          <w:b w:val="0"/>
          <w:bCs/>
          <w:color w:val="000000"/>
          <w:sz w:val="24"/>
          <w:szCs w:val="24"/>
          <w:lang w:val="en-GB"/>
        </w:rPr>
        <w:t>. However, a claimant with pre-settled status may still be eligible to access H</w:t>
      </w:r>
      <w:r w:rsidR="00EC7FFB">
        <w:rPr>
          <w:b w:val="0"/>
          <w:bCs/>
          <w:color w:val="000000"/>
          <w:sz w:val="24"/>
          <w:szCs w:val="24"/>
          <w:lang w:val="en-GB"/>
        </w:rPr>
        <w:t>B</w:t>
      </w:r>
      <w:r w:rsidRPr="003619B9">
        <w:rPr>
          <w:b w:val="0"/>
          <w:bCs/>
          <w:color w:val="000000"/>
          <w:sz w:val="24"/>
          <w:szCs w:val="24"/>
          <w:lang w:val="en-GB"/>
        </w:rPr>
        <w:t xml:space="preserve"> if</w:t>
      </w:r>
      <w:r w:rsidRPr="003619B9">
        <w:rPr>
          <w:b w:val="0"/>
          <w:bCs/>
          <w:color w:val="000000"/>
          <w:sz w:val="24"/>
          <w:szCs w:val="24"/>
        </w:rPr>
        <w:t xml:space="preserve"> </w:t>
      </w:r>
      <w:r w:rsidRPr="003619B9">
        <w:rPr>
          <w:b w:val="0"/>
          <w:bCs/>
          <w:color w:val="000000"/>
          <w:sz w:val="24"/>
          <w:szCs w:val="24"/>
          <w:lang w:val="en-GB"/>
        </w:rPr>
        <w:t>the claimant is exercising a qualifying right to reside under existing legislation, for example as a worker or self-employed person, or if they are deriving rights from a family member. In this case, they will satisfy the right to reside element of the HRT.</w:t>
      </w:r>
    </w:p>
    <w:p w14:paraId="734EF9EB" w14:textId="221C0027" w:rsidR="00BD43C5" w:rsidRDefault="00BD43C5" w:rsidP="00C82CAE">
      <w:pPr>
        <w:pStyle w:val="Sectionhead"/>
        <w:numPr>
          <w:ilvl w:val="0"/>
          <w:numId w:val="11"/>
        </w:numPr>
        <w:tabs>
          <w:tab w:val="clear" w:pos="360"/>
          <w:tab w:val="num" w:pos="567"/>
        </w:tabs>
        <w:spacing w:before="100" w:beforeAutospacing="1" w:line="240" w:lineRule="atLeast"/>
        <w:ind w:left="567" w:hanging="567"/>
        <w:rPr>
          <w:b w:val="0"/>
          <w:bCs/>
          <w:color w:val="000000"/>
          <w:sz w:val="24"/>
          <w:szCs w:val="24"/>
          <w:lang w:val="en-GB"/>
        </w:rPr>
      </w:pPr>
      <w:r>
        <w:rPr>
          <w:b w:val="0"/>
          <w:bCs/>
          <w:color w:val="000000"/>
          <w:sz w:val="24"/>
          <w:szCs w:val="24"/>
          <w:lang w:val="en-GB"/>
        </w:rPr>
        <w:t>These regulations do not relate to indefinite leave to enter or remain granted under the EUSS, which is also referred to as settled status. Claimants holding settled status under the EUSS will satisfy the right to reside element of the H</w:t>
      </w:r>
      <w:r w:rsidR="00137D12">
        <w:rPr>
          <w:b w:val="0"/>
          <w:bCs/>
          <w:color w:val="000000"/>
          <w:sz w:val="24"/>
          <w:szCs w:val="24"/>
          <w:lang w:val="en-GB"/>
        </w:rPr>
        <w:t>RT</w:t>
      </w:r>
      <w:r w:rsidR="009671C8">
        <w:rPr>
          <w:b w:val="0"/>
          <w:bCs/>
          <w:color w:val="000000"/>
          <w:sz w:val="24"/>
          <w:szCs w:val="24"/>
          <w:lang w:val="en-GB"/>
        </w:rPr>
        <w:t>HB.</w:t>
      </w:r>
      <w:r w:rsidR="002E5AAE">
        <w:rPr>
          <w:b w:val="0"/>
          <w:bCs/>
          <w:color w:val="000000"/>
          <w:sz w:val="24"/>
          <w:szCs w:val="24"/>
          <w:lang w:val="en-GB"/>
        </w:rPr>
        <w:t xml:space="preserve"> All further references to </w:t>
      </w:r>
      <w:r w:rsidR="003E01F4">
        <w:rPr>
          <w:b w:val="0"/>
          <w:bCs/>
          <w:color w:val="000000"/>
          <w:sz w:val="24"/>
          <w:szCs w:val="24"/>
          <w:lang w:val="en-GB"/>
        </w:rPr>
        <w:t>indefinite leave to remain (ILR)</w:t>
      </w:r>
      <w:r w:rsidR="002E5AAE">
        <w:rPr>
          <w:b w:val="0"/>
          <w:bCs/>
          <w:color w:val="000000"/>
          <w:sz w:val="24"/>
          <w:szCs w:val="24"/>
          <w:lang w:val="en-GB"/>
        </w:rPr>
        <w:t xml:space="preserve"> within this circular should be read as including indefinite leave to enter. </w:t>
      </w:r>
    </w:p>
    <w:p w14:paraId="37D692B9" w14:textId="77777777" w:rsidR="00C82CAE" w:rsidRPr="009671C8" w:rsidRDefault="009671C8" w:rsidP="00C82CAE">
      <w:pPr>
        <w:pStyle w:val="Sectionhead"/>
        <w:numPr>
          <w:ilvl w:val="0"/>
          <w:numId w:val="11"/>
        </w:numPr>
        <w:tabs>
          <w:tab w:val="clear" w:pos="360"/>
        </w:tabs>
        <w:spacing w:before="100" w:beforeAutospacing="1" w:line="240" w:lineRule="atLeast"/>
        <w:ind w:left="567" w:hanging="567"/>
        <w:rPr>
          <w:b w:val="0"/>
          <w:bCs/>
          <w:color w:val="000000"/>
          <w:sz w:val="24"/>
          <w:szCs w:val="24"/>
          <w:lang w:val="en-GB"/>
        </w:rPr>
      </w:pPr>
      <w:r w:rsidRPr="007258CC">
        <w:rPr>
          <w:b w:val="0"/>
          <w:bCs/>
          <w:color w:val="000000"/>
          <w:sz w:val="24"/>
          <w:szCs w:val="24"/>
          <w:lang w:val="en-GB"/>
        </w:rPr>
        <w:t xml:space="preserve">These </w:t>
      </w:r>
      <w:r>
        <w:rPr>
          <w:b w:val="0"/>
          <w:bCs/>
          <w:color w:val="000000"/>
          <w:sz w:val="24"/>
          <w:szCs w:val="24"/>
          <w:lang w:val="en-GB"/>
        </w:rPr>
        <w:t xml:space="preserve">regulations also update references in regulation 10 </w:t>
      </w:r>
      <w:r w:rsidRPr="007258CC">
        <w:rPr>
          <w:b w:val="0"/>
          <w:bCs/>
          <w:color w:val="000000"/>
          <w:sz w:val="24"/>
          <w:szCs w:val="24"/>
          <w:lang w:val="en-GB"/>
        </w:rPr>
        <w:t xml:space="preserve">to the Immigration (European Economic Area) Regulations 2006 (SI 2006/1003) so that they now refer instead to the Immigration (European Economic Area) Regulations 2016 </w:t>
      </w:r>
      <w:r w:rsidRPr="00D62E68">
        <w:rPr>
          <w:b w:val="0"/>
          <w:bCs/>
          <w:color w:val="000000"/>
          <w:sz w:val="24"/>
          <w:szCs w:val="24"/>
          <w:lang w:val="en-GB"/>
        </w:rPr>
        <w:t xml:space="preserve">(SI 2016/1052). </w:t>
      </w:r>
      <w:r w:rsidR="0068737E">
        <w:rPr>
          <w:b w:val="0"/>
          <w:bCs/>
          <w:color w:val="000000"/>
          <w:sz w:val="24"/>
          <w:szCs w:val="24"/>
          <w:lang w:val="en-GB"/>
        </w:rPr>
        <w:t>This is because the 2016 Regulations</w:t>
      </w:r>
      <w:r>
        <w:rPr>
          <w:b w:val="0"/>
          <w:bCs/>
          <w:color w:val="000000"/>
          <w:sz w:val="24"/>
          <w:szCs w:val="24"/>
          <w:lang w:val="en-GB"/>
        </w:rPr>
        <w:t xml:space="preserve"> revoked and replaced</w:t>
      </w:r>
      <w:r w:rsidR="0068737E">
        <w:rPr>
          <w:b w:val="0"/>
          <w:bCs/>
          <w:color w:val="000000"/>
          <w:sz w:val="24"/>
          <w:szCs w:val="24"/>
          <w:lang w:val="en-GB"/>
        </w:rPr>
        <w:t xml:space="preserve"> the 2006 Regulations</w:t>
      </w:r>
      <w:r>
        <w:rPr>
          <w:b w:val="0"/>
          <w:bCs/>
          <w:color w:val="000000"/>
          <w:sz w:val="24"/>
          <w:szCs w:val="24"/>
          <w:lang w:val="en-GB"/>
        </w:rPr>
        <w:t>.</w:t>
      </w:r>
    </w:p>
    <w:p w14:paraId="3DC7A1D8" w14:textId="273E9B88" w:rsidR="00615055" w:rsidRDefault="009671C8">
      <w:pPr>
        <w:pStyle w:val="Sectionhead"/>
        <w:rPr>
          <w:sz w:val="28"/>
          <w:szCs w:val="28"/>
          <w:lang w:val="en-GB"/>
        </w:rPr>
      </w:pPr>
      <w:r>
        <w:rPr>
          <w:sz w:val="28"/>
          <w:szCs w:val="28"/>
          <w:lang w:val="en-GB"/>
        </w:rPr>
        <w:t>EU</w:t>
      </w:r>
      <w:r w:rsidR="00137D12">
        <w:rPr>
          <w:sz w:val="28"/>
          <w:szCs w:val="28"/>
          <w:lang w:val="en-GB"/>
        </w:rPr>
        <w:t>SS</w:t>
      </w:r>
    </w:p>
    <w:p w14:paraId="2E989EC1" w14:textId="07B048D0" w:rsidR="003707CB" w:rsidRPr="001E696E" w:rsidRDefault="00FA52EE" w:rsidP="003707CB">
      <w:pPr>
        <w:pStyle w:val="Sectionhead"/>
        <w:numPr>
          <w:ilvl w:val="0"/>
          <w:numId w:val="11"/>
        </w:numPr>
        <w:tabs>
          <w:tab w:val="clear" w:pos="360"/>
        </w:tabs>
        <w:spacing w:before="100" w:beforeAutospacing="1" w:line="240" w:lineRule="atLeast"/>
        <w:ind w:left="567" w:hanging="567"/>
        <w:rPr>
          <w:b w:val="0"/>
          <w:bCs/>
          <w:color w:val="000000"/>
          <w:sz w:val="24"/>
          <w:szCs w:val="24"/>
          <w:lang w:val="en-GB"/>
        </w:rPr>
      </w:pPr>
      <w:r>
        <w:rPr>
          <w:b w:val="0"/>
          <w:bCs/>
          <w:color w:val="000000"/>
          <w:sz w:val="24"/>
          <w:szCs w:val="24"/>
          <w:lang w:val="en-GB"/>
        </w:rPr>
        <w:t>The Home Office opened</w:t>
      </w:r>
      <w:r w:rsidR="003707CB">
        <w:rPr>
          <w:b w:val="0"/>
          <w:bCs/>
          <w:color w:val="000000"/>
          <w:sz w:val="24"/>
          <w:szCs w:val="24"/>
          <w:lang w:val="en-GB"/>
        </w:rPr>
        <w:t xml:space="preserve"> the EU</w:t>
      </w:r>
      <w:r w:rsidR="00FD312F">
        <w:rPr>
          <w:b w:val="0"/>
          <w:bCs/>
          <w:color w:val="000000"/>
          <w:sz w:val="24"/>
          <w:szCs w:val="24"/>
          <w:lang w:val="en-GB"/>
        </w:rPr>
        <w:t>SS</w:t>
      </w:r>
      <w:r w:rsidR="003707CB">
        <w:rPr>
          <w:b w:val="0"/>
          <w:bCs/>
          <w:color w:val="000000"/>
          <w:sz w:val="24"/>
          <w:szCs w:val="24"/>
          <w:lang w:val="en-GB"/>
        </w:rPr>
        <w:t xml:space="preserve"> on a national basis from 30 March 2019. The scheme was in a t</w:t>
      </w:r>
      <w:r>
        <w:rPr>
          <w:b w:val="0"/>
          <w:bCs/>
          <w:color w:val="000000"/>
          <w:sz w:val="24"/>
          <w:szCs w:val="24"/>
          <w:lang w:val="en-GB"/>
        </w:rPr>
        <w:t xml:space="preserve">esting phase from </w:t>
      </w:r>
      <w:r w:rsidR="00264E8A">
        <w:rPr>
          <w:b w:val="0"/>
          <w:bCs/>
          <w:color w:val="000000"/>
          <w:sz w:val="24"/>
          <w:szCs w:val="24"/>
          <w:lang w:val="en-GB"/>
        </w:rPr>
        <w:t>28 August 2018 to 29 March</w:t>
      </w:r>
      <w:r>
        <w:rPr>
          <w:b w:val="0"/>
          <w:bCs/>
          <w:color w:val="000000"/>
          <w:sz w:val="24"/>
          <w:szCs w:val="24"/>
          <w:lang w:val="en-GB"/>
        </w:rPr>
        <w:t xml:space="preserve"> </w:t>
      </w:r>
      <w:r w:rsidR="00264E8A">
        <w:rPr>
          <w:b w:val="0"/>
          <w:bCs/>
          <w:color w:val="000000"/>
          <w:sz w:val="24"/>
          <w:szCs w:val="24"/>
          <w:lang w:val="en-GB"/>
        </w:rPr>
        <w:t>2019</w:t>
      </w:r>
      <w:r w:rsidR="003707CB">
        <w:rPr>
          <w:b w:val="0"/>
          <w:bCs/>
          <w:color w:val="000000"/>
          <w:sz w:val="24"/>
          <w:szCs w:val="24"/>
          <w:lang w:val="en-GB"/>
        </w:rPr>
        <w:t>.</w:t>
      </w:r>
    </w:p>
    <w:p w14:paraId="300F304D" w14:textId="589DA3B0" w:rsidR="003707CB" w:rsidRPr="009B73E8" w:rsidRDefault="003707CB" w:rsidP="009B73E8">
      <w:pPr>
        <w:pStyle w:val="Sectionhead"/>
        <w:numPr>
          <w:ilvl w:val="0"/>
          <w:numId w:val="11"/>
        </w:numPr>
        <w:tabs>
          <w:tab w:val="clear" w:pos="360"/>
        </w:tabs>
        <w:spacing w:before="100" w:beforeAutospacing="1" w:line="240" w:lineRule="atLeast"/>
        <w:ind w:left="567" w:hanging="567"/>
        <w:rPr>
          <w:b w:val="0"/>
          <w:bCs/>
          <w:color w:val="000000"/>
          <w:sz w:val="24"/>
          <w:szCs w:val="24"/>
          <w:lang w:val="en-GB"/>
        </w:rPr>
      </w:pPr>
      <w:r>
        <w:rPr>
          <w:b w:val="0"/>
          <w:bCs/>
          <w:color w:val="000000"/>
          <w:sz w:val="24"/>
          <w:szCs w:val="24"/>
          <w:lang w:val="en-GB"/>
        </w:rPr>
        <w:t>The EUSS is the means by which EEA and Swiss nationals</w:t>
      </w:r>
      <w:r w:rsidR="009671C8">
        <w:rPr>
          <w:b w:val="0"/>
          <w:bCs/>
          <w:color w:val="000000"/>
          <w:sz w:val="24"/>
          <w:szCs w:val="24"/>
          <w:lang w:val="en-GB"/>
        </w:rPr>
        <w:t xml:space="preserve"> and their family members</w:t>
      </w:r>
      <w:r>
        <w:rPr>
          <w:b w:val="0"/>
          <w:bCs/>
          <w:color w:val="000000"/>
          <w:sz w:val="24"/>
          <w:szCs w:val="24"/>
          <w:lang w:val="en-GB"/>
        </w:rPr>
        <w:t>, reside</w:t>
      </w:r>
      <w:r w:rsidR="009B73E8">
        <w:rPr>
          <w:b w:val="0"/>
          <w:bCs/>
          <w:color w:val="000000"/>
          <w:sz w:val="24"/>
          <w:szCs w:val="24"/>
          <w:lang w:val="en-GB"/>
        </w:rPr>
        <w:t xml:space="preserve">nt in the UK by the specified date, </w:t>
      </w:r>
      <w:r w:rsidR="00264E8A">
        <w:rPr>
          <w:b w:val="0"/>
          <w:bCs/>
          <w:color w:val="000000"/>
          <w:sz w:val="24"/>
          <w:szCs w:val="24"/>
          <w:lang w:val="en-GB"/>
        </w:rPr>
        <w:t xml:space="preserve">can apply for </w:t>
      </w:r>
      <w:r w:rsidRPr="009B73E8">
        <w:rPr>
          <w:b w:val="0"/>
          <w:bCs/>
          <w:color w:val="000000"/>
          <w:sz w:val="24"/>
          <w:szCs w:val="24"/>
          <w:lang w:val="en-GB"/>
        </w:rPr>
        <w:t xml:space="preserve">a UK immigration status which </w:t>
      </w:r>
      <w:r w:rsidR="00264E8A">
        <w:rPr>
          <w:b w:val="0"/>
          <w:bCs/>
          <w:color w:val="000000"/>
          <w:sz w:val="24"/>
          <w:szCs w:val="24"/>
          <w:lang w:val="en-GB"/>
        </w:rPr>
        <w:t xml:space="preserve">will </w:t>
      </w:r>
      <w:r w:rsidRPr="009B73E8">
        <w:rPr>
          <w:b w:val="0"/>
          <w:bCs/>
          <w:color w:val="000000"/>
          <w:sz w:val="24"/>
          <w:szCs w:val="24"/>
          <w:lang w:val="en-GB"/>
        </w:rPr>
        <w:t>protect their entitlements and right to remain in the UK.</w:t>
      </w:r>
      <w:r w:rsidR="009B73E8">
        <w:rPr>
          <w:b w:val="0"/>
          <w:bCs/>
          <w:color w:val="000000"/>
          <w:sz w:val="24"/>
          <w:szCs w:val="24"/>
          <w:lang w:val="en-GB"/>
        </w:rPr>
        <w:t xml:space="preserve"> </w:t>
      </w:r>
      <w:r w:rsidR="005C4981" w:rsidRPr="005C4981">
        <w:rPr>
          <w:b w:val="0"/>
          <w:bCs/>
          <w:color w:val="000000"/>
          <w:sz w:val="24"/>
          <w:szCs w:val="24"/>
        </w:rPr>
        <w:t xml:space="preserve">The specified date has been set at 31 December 2020 in the event the UK agrees a deal with the EU </w:t>
      </w:r>
      <w:r w:rsidR="005C4981">
        <w:rPr>
          <w:b w:val="0"/>
          <w:bCs/>
          <w:color w:val="000000"/>
          <w:sz w:val="24"/>
          <w:szCs w:val="24"/>
          <w:lang w:val="en-GB"/>
        </w:rPr>
        <w:t>and the deadline for applying to the EUSS is 30 June 2021. If the UK leaves the EU without a deal</w:t>
      </w:r>
      <w:r w:rsidR="00264E8A">
        <w:rPr>
          <w:b w:val="0"/>
          <w:bCs/>
          <w:color w:val="000000"/>
          <w:sz w:val="24"/>
          <w:szCs w:val="24"/>
          <w:lang w:val="en-GB"/>
        </w:rPr>
        <w:t>,</w:t>
      </w:r>
      <w:r w:rsidR="005C4981">
        <w:rPr>
          <w:b w:val="0"/>
          <w:bCs/>
          <w:color w:val="000000"/>
          <w:sz w:val="24"/>
          <w:szCs w:val="24"/>
          <w:lang w:val="en-GB"/>
        </w:rPr>
        <w:t xml:space="preserve"> then EEA and Swiss nationals will need to be living in the UK before it leaves the EU to apply and the deadline for applying will be 31 December 2020.</w:t>
      </w:r>
    </w:p>
    <w:p w14:paraId="51BCB9D0" w14:textId="2755E5D1" w:rsidR="003707CB" w:rsidRDefault="003707CB" w:rsidP="003707CB">
      <w:pPr>
        <w:pStyle w:val="Sectionhead"/>
        <w:rPr>
          <w:sz w:val="28"/>
          <w:szCs w:val="28"/>
          <w:lang w:val="en-GB"/>
        </w:rPr>
      </w:pPr>
      <w:r>
        <w:rPr>
          <w:sz w:val="28"/>
          <w:szCs w:val="28"/>
          <w:lang w:val="en-GB"/>
        </w:rPr>
        <w:t>Settled status –</w:t>
      </w:r>
      <w:r w:rsidR="002E5AAE">
        <w:rPr>
          <w:sz w:val="28"/>
          <w:szCs w:val="28"/>
          <w:lang w:val="en-GB"/>
        </w:rPr>
        <w:t xml:space="preserve"> </w:t>
      </w:r>
      <w:r w:rsidR="006B3C6E">
        <w:rPr>
          <w:sz w:val="28"/>
          <w:szCs w:val="28"/>
          <w:lang w:val="en-GB"/>
        </w:rPr>
        <w:t>ILR</w:t>
      </w:r>
    </w:p>
    <w:p w14:paraId="5031311C" w14:textId="0ADC0734" w:rsidR="009671C8" w:rsidRPr="009671C8" w:rsidRDefault="009671C8" w:rsidP="003707CB">
      <w:pPr>
        <w:pStyle w:val="Sectionhead"/>
        <w:numPr>
          <w:ilvl w:val="0"/>
          <w:numId w:val="11"/>
        </w:numPr>
        <w:tabs>
          <w:tab w:val="clear" w:pos="360"/>
        </w:tabs>
        <w:spacing w:before="100" w:beforeAutospacing="1" w:line="240" w:lineRule="atLeast"/>
        <w:ind w:left="567" w:hanging="567"/>
        <w:rPr>
          <w:b w:val="0"/>
          <w:bCs/>
          <w:color w:val="000000"/>
          <w:sz w:val="24"/>
          <w:szCs w:val="24"/>
          <w:lang w:val="en-GB"/>
        </w:rPr>
      </w:pPr>
      <w:r>
        <w:rPr>
          <w:b w:val="0"/>
          <w:bCs/>
          <w:color w:val="000000"/>
          <w:sz w:val="24"/>
          <w:szCs w:val="24"/>
          <w:lang w:val="en-GB"/>
        </w:rPr>
        <w:t>Applicants to the EUSS who started living in the UK before the specified date and who have lived in the UK for a continuous 5-year period</w:t>
      </w:r>
      <w:r w:rsidR="009B73E8">
        <w:rPr>
          <w:b w:val="0"/>
          <w:bCs/>
          <w:color w:val="000000"/>
          <w:sz w:val="24"/>
          <w:szCs w:val="24"/>
          <w:lang w:val="en-GB"/>
        </w:rPr>
        <w:t xml:space="preserve"> (with certain absences permitted)</w:t>
      </w:r>
      <w:r>
        <w:rPr>
          <w:b w:val="0"/>
          <w:bCs/>
          <w:color w:val="000000"/>
          <w:sz w:val="24"/>
          <w:szCs w:val="24"/>
          <w:lang w:val="en-GB"/>
        </w:rPr>
        <w:t xml:space="preserve"> will usually be granted </w:t>
      </w:r>
      <w:r w:rsidR="00FD312F">
        <w:rPr>
          <w:b w:val="0"/>
          <w:bCs/>
          <w:color w:val="000000"/>
          <w:sz w:val="24"/>
          <w:szCs w:val="24"/>
          <w:lang w:val="en-GB"/>
        </w:rPr>
        <w:t>I</w:t>
      </w:r>
      <w:r w:rsidR="002E5AAE">
        <w:rPr>
          <w:b w:val="0"/>
          <w:bCs/>
          <w:color w:val="000000"/>
          <w:sz w:val="24"/>
          <w:szCs w:val="24"/>
          <w:lang w:val="en-GB"/>
        </w:rPr>
        <w:t>LR</w:t>
      </w:r>
      <w:r>
        <w:rPr>
          <w:b w:val="0"/>
          <w:bCs/>
          <w:color w:val="000000"/>
          <w:sz w:val="24"/>
          <w:szCs w:val="24"/>
          <w:lang w:val="en-GB"/>
        </w:rPr>
        <w:t xml:space="preserve"> under Appendix EU </w:t>
      </w:r>
      <w:r w:rsidR="00264E8A">
        <w:rPr>
          <w:b w:val="0"/>
          <w:bCs/>
          <w:color w:val="000000"/>
          <w:sz w:val="24"/>
          <w:szCs w:val="24"/>
          <w:lang w:val="en-GB"/>
        </w:rPr>
        <w:t xml:space="preserve">to </w:t>
      </w:r>
      <w:r>
        <w:rPr>
          <w:b w:val="0"/>
          <w:bCs/>
          <w:color w:val="000000"/>
          <w:sz w:val="24"/>
          <w:szCs w:val="24"/>
          <w:lang w:val="en-GB"/>
        </w:rPr>
        <w:t>the Immigration Rules, which is also referred to as settled status.</w:t>
      </w:r>
    </w:p>
    <w:p w14:paraId="0A35E321" w14:textId="77777777" w:rsidR="003707CB" w:rsidRDefault="003707CB" w:rsidP="003707CB">
      <w:pPr>
        <w:pStyle w:val="Sectionhead"/>
        <w:numPr>
          <w:ilvl w:val="0"/>
          <w:numId w:val="11"/>
        </w:numPr>
        <w:tabs>
          <w:tab w:val="clear" w:pos="360"/>
        </w:tabs>
        <w:spacing w:before="100" w:beforeAutospacing="1" w:line="240" w:lineRule="atLeast"/>
        <w:ind w:left="567" w:hanging="567"/>
        <w:rPr>
          <w:b w:val="0"/>
          <w:bCs/>
          <w:color w:val="000000"/>
          <w:sz w:val="24"/>
          <w:szCs w:val="24"/>
          <w:lang w:val="en-GB"/>
        </w:rPr>
      </w:pPr>
      <w:r>
        <w:rPr>
          <w:b w:val="0"/>
          <w:bCs/>
          <w:color w:val="000000"/>
          <w:sz w:val="24"/>
          <w:szCs w:val="24"/>
          <w:lang w:val="en-GB"/>
        </w:rPr>
        <w:t xml:space="preserve">Where a claimant has been granted ILR, also referred to as settled status, under the EUSS, they will </w:t>
      </w:r>
      <w:r w:rsidR="0068320F">
        <w:rPr>
          <w:b w:val="0"/>
          <w:bCs/>
          <w:color w:val="000000"/>
          <w:sz w:val="24"/>
          <w:szCs w:val="24"/>
          <w:lang w:val="en-GB"/>
        </w:rPr>
        <w:t xml:space="preserve">have a qualifying </w:t>
      </w:r>
      <w:r>
        <w:rPr>
          <w:b w:val="0"/>
          <w:bCs/>
          <w:color w:val="000000"/>
          <w:sz w:val="24"/>
          <w:szCs w:val="24"/>
          <w:lang w:val="en-GB"/>
        </w:rPr>
        <w:t xml:space="preserve">right to reside </w:t>
      </w:r>
      <w:r w:rsidR="0068320F">
        <w:rPr>
          <w:b w:val="0"/>
          <w:bCs/>
          <w:color w:val="000000"/>
          <w:sz w:val="24"/>
          <w:szCs w:val="24"/>
          <w:lang w:val="en-GB"/>
        </w:rPr>
        <w:t xml:space="preserve">for </w:t>
      </w:r>
      <w:r>
        <w:rPr>
          <w:b w:val="0"/>
          <w:bCs/>
          <w:color w:val="000000"/>
          <w:sz w:val="24"/>
          <w:szCs w:val="24"/>
          <w:lang w:val="en-GB"/>
        </w:rPr>
        <w:t>H</w:t>
      </w:r>
      <w:r w:rsidR="009671C8">
        <w:rPr>
          <w:b w:val="0"/>
          <w:bCs/>
          <w:color w:val="000000"/>
          <w:sz w:val="24"/>
          <w:szCs w:val="24"/>
          <w:lang w:val="en-GB"/>
        </w:rPr>
        <w:t>B</w:t>
      </w:r>
      <w:r>
        <w:rPr>
          <w:b w:val="0"/>
          <w:bCs/>
          <w:color w:val="000000"/>
          <w:sz w:val="24"/>
          <w:szCs w:val="24"/>
          <w:lang w:val="en-GB"/>
        </w:rPr>
        <w:t>.</w:t>
      </w:r>
    </w:p>
    <w:p w14:paraId="5057284D" w14:textId="56160440" w:rsidR="00735207" w:rsidRDefault="00735207" w:rsidP="00735207">
      <w:pPr>
        <w:pStyle w:val="Sectionhead"/>
        <w:rPr>
          <w:sz w:val="28"/>
          <w:szCs w:val="28"/>
          <w:lang w:val="en-GB"/>
        </w:rPr>
      </w:pPr>
      <w:r>
        <w:rPr>
          <w:sz w:val="28"/>
          <w:szCs w:val="28"/>
          <w:lang w:val="en-GB"/>
        </w:rPr>
        <w:t>Pre-settled status –</w:t>
      </w:r>
      <w:r w:rsidR="002E5AAE">
        <w:rPr>
          <w:sz w:val="28"/>
          <w:szCs w:val="28"/>
          <w:lang w:val="en-GB"/>
        </w:rPr>
        <w:t xml:space="preserve"> </w:t>
      </w:r>
      <w:r w:rsidR="006B3C6E">
        <w:rPr>
          <w:sz w:val="28"/>
          <w:szCs w:val="28"/>
          <w:lang w:val="en-GB"/>
        </w:rPr>
        <w:t>LLR</w:t>
      </w:r>
    </w:p>
    <w:p w14:paraId="3AB1FE78" w14:textId="674B8E44" w:rsidR="009671C8" w:rsidRPr="009671C8" w:rsidRDefault="009671C8" w:rsidP="009671C8">
      <w:pPr>
        <w:pStyle w:val="Sectionhead"/>
        <w:numPr>
          <w:ilvl w:val="0"/>
          <w:numId w:val="11"/>
        </w:numPr>
        <w:tabs>
          <w:tab w:val="clear" w:pos="360"/>
        </w:tabs>
        <w:spacing w:before="100" w:beforeAutospacing="1" w:line="240" w:lineRule="atLeast"/>
        <w:ind w:left="567" w:hanging="567"/>
        <w:rPr>
          <w:b w:val="0"/>
          <w:bCs/>
          <w:color w:val="000000"/>
          <w:sz w:val="24"/>
          <w:szCs w:val="24"/>
          <w:lang w:val="en-GB"/>
        </w:rPr>
      </w:pPr>
      <w:r>
        <w:rPr>
          <w:b w:val="0"/>
          <w:bCs/>
          <w:color w:val="000000"/>
          <w:sz w:val="24"/>
          <w:szCs w:val="24"/>
          <w:lang w:val="en-GB"/>
        </w:rPr>
        <w:t>Applicants who do not have 5 years’ continuous residence when they apply will usually be gran</w:t>
      </w:r>
      <w:r w:rsidR="00982CD2">
        <w:rPr>
          <w:b w:val="0"/>
          <w:bCs/>
          <w:color w:val="000000"/>
          <w:sz w:val="24"/>
          <w:szCs w:val="24"/>
          <w:lang w:val="en-GB"/>
        </w:rPr>
        <w:t xml:space="preserve">ted </w:t>
      </w:r>
      <w:r>
        <w:rPr>
          <w:b w:val="0"/>
          <w:bCs/>
          <w:color w:val="000000"/>
          <w:sz w:val="24"/>
          <w:szCs w:val="24"/>
          <w:lang w:val="en-GB"/>
        </w:rPr>
        <w:t xml:space="preserve">LLR under Appendix EU </w:t>
      </w:r>
      <w:r w:rsidR="00264E8A">
        <w:rPr>
          <w:b w:val="0"/>
          <w:bCs/>
          <w:color w:val="000000"/>
          <w:sz w:val="24"/>
          <w:szCs w:val="24"/>
          <w:lang w:val="en-GB"/>
        </w:rPr>
        <w:t xml:space="preserve">to </w:t>
      </w:r>
      <w:r>
        <w:rPr>
          <w:b w:val="0"/>
          <w:bCs/>
          <w:color w:val="000000"/>
          <w:sz w:val="24"/>
          <w:szCs w:val="24"/>
          <w:lang w:val="en-GB"/>
        </w:rPr>
        <w:t>the Immigration Rules, which is also referred to as pre-settled status. They can then apply to change this to settled status if they go on to accrue 5 years’ continuous residence in the UK.</w:t>
      </w:r>
    </w:p>
    <w:p w14:paraId="597C1C08" w14:textId="77777777" w:rsidR="00735207" w:rsidRDefault="00735207" w:rsidP="00735207">
      <w:pPr>
        <w:pStyle w:val="Sectionhead"/>
        <w:numPr>
          <w:ilvl w:val="0"/>
          <w:numId w:val="11"/>
        </w:numPr>
        <w:tabs>
          <w:tab w:val="clear" w:pos="360"/>
        </w:tabs>
        <w:spacing w:before="100" w:beforeAutospacing="1" w:line="240" w:lineRule="atLeast"/>
        <w:ind w:left="567" w:hanging="567"/>
        <w:rPr>
          <w:b w:val="0"/>
          <w:bCs/>
          <w:color w:val="000000"/>
          <w:sz w:val="24"/>
          <w:szCs w:val="24"/>
          <w:lang w:val="en-GB"/>
        </w:rPr>
      </w:pPr>
      <w:r>
        <w:rPr>
          <w:b w:val="0"/>
          <w:bCs/>
          <w:color w:val="000000"/>
          <w:sz w:val="24"/>
          <w:szCs w:val="24"/>
          <w:lang w:val="en-GB"/>
        </w:rPr>
        <w:t xml:space="preserve">Where a claimant has been granted LLR, also referred to as pre-settled status, under the EUSS, </w:t>
      </w:r>
      <w:r w:rsidR="00982CD2">
        <w:rPr>
          <w:b w:val="0"/>
          <w:bCs/>
          <w:color w:val="000000"/>
          <w:sz w:val="24"/>
          <w:szCs w:val="24"/>
          <w:lang w:val="en-GB"/>
        </w:rPr>
        <w:t>this is not sufficient in itself as a</w:t>
      </w:r>
      <w:r>
        <w:rPr>
          <w:b w:val="0"/>
          <w:bCs/>
          <w:color w:val="000000"/>
          <w:sz w:val="24"/>
          <w:szCs w:val="24"/>
          <w:lang w:val="en-GB"/>
        </w:rPr>
        <w:t xml:space="preserve"> </w:t>
      </w:r>
      <w:r w:rsidR="00796F4A">
        <w:rPr>
          <w:b w:val="0"/>
          <w:bCs/>
          <w:color w:val="000000"/>
          <w:sz w:val="24"/>
          <w:szCs w:val="24"/>
          <w:lang w:val="en-GB"/>
        </w:rPr>
        <w:t xml:space="preserve">qualifying </w:t>
      </w:r>
      <w:r>
        <w:rPr>
          <w:b w:val="0"/>
          <w:bCs/>
          <w:color w:val="000000"/>
          <w:sz w:val="24"/>
          <w:szCs w:val="24"/>
          <w:lang w:val="en-GB"/>
        </w:rPr>
        <w:t xml:space="preserve">right to reside </w:t>
      </w:r>
      <w:r w:rsidR="00796F4A">
        <w:rPr>
          <w:b w:val="0"/>
          <w:bCs/>
          <w:color w:val="000000"/>
          <w:sz w:val="24"/>
          <w:szCs w:val="24"/>
          <w:lang w:val="en-GB"/>
        </w:rPr>
        <w:t xml:space="preserve">for </w:t>
      </w:r>
      <w:r w:rsidR="00982CD2">
        <w:rPr>
          <w:b w:val="0"/>
          <w:bCs/>
          <w:color w:val="000000"/>
          <w:sz w:val="24"/>
          <w:szCs w:val="24"/>
          <w:lang w:val="en-GB"/>
        </w:rPr>
        <w:t xml:space="preserve">the purposes of claiming </w:t>
      </w:r>
      <w:r>
        <w:rPr>
          <w:b w:val="0"/>
          <w:bCs/>
          <w:color w:val="000000"/>
          <w:sz w:val="24"/>
          <w:szCs w:val="24"/>
          <w:lang w:val="en-GB"/>
        </w:rPr>
        <w:t>HB.</w:t>
      </w:r>
    </w:p>
    <w:p w14:paraId="094C41F7" w14:textId="77777777" w:rsidR="00735207" w:rsidRDefault="00796F4A" w:rsidP="00735207">
      <w:pPr>
        <w:pStyle w:val="Sectionhead"/>
        <w:numPr>
          <w:ilvl w:val="0"/>
          <w:numId w:val="11"/>
        </w:numPr>
        <w:tabs>
          <w:tab w:val="clear" w:pos="360"/>
        </w:tabs>
        <w:spacing w:before="100" w:beforeAutospacing="1" w:line="240" w:lineRule="atLeast"/>
        <w:ind w:left="567" w:hanging="567"/>
        <w:rPr>
          <w:b w:val="0"/>
          <w:bCs/>
          <w:color w:val="000000"/>
          <w:sz w:val="24"/>
          <w:szCs w:val="24"/>
          <w:lang w:val="en-GB"/>
        </w:rPr>
      </w:pPr>
      <w:r>
        <w:rPr>
          <w:b w:val="0"/>
          <w:bCs/>
          <w:color w:val="000000"/>
          <w:sz w:val="24"/>
          <w:szCs w:val="24"/>
          <w:lang w:val="en-GB"/>
        </w:rPr>
        <w:t xml:space="preserve">However, if </w:t>
      </w:r>
      <w:r w:rsidR="00982CD2">
        <w:rPr>
          <w:b w:val="0"/>
          <w:bCs/>
          <w:color w:val="000000"/>
          <w:sz w:val="24"/>
          <w:szCs w:val="24"/>
          <w:lang w:val="en-GB"/>
        </w:rPr>
        <w:t>they</w:t>
      </w:r>
      <w:r>
        <w:rPr>
          <w:b w:val="0"/>
          <w:bCs/>
          <w:color w:val="000000"/>
          <w:sz w:val="24"/>
          <w:szCs w:val="24"/>
          <w:lang w:val="en-GB"/>
        </w:rPr>
        <w:t xml:space="preserve"> can</w:t>
      </w:r>
      <w:r w:rsidR="00735207">
        <w:rPr>
          <w:b w:val="0"/>
          <w:bCs/>
          <w:color w:val="000000"/>
          <w:sz w:val="24"/>
          <w:szCs w:val="24"/>
          <w:lang w:val="en-GB"/>
        </w:rPr>
        <w:t xml:space="preserve"> demonstrate that they are exercising a qualifying right to reside</w:t>
      </w:r>
      <w:r w:rsidR="0068737E">
        <w:rPr>
          <w:b w:val="0"/>
          <w:bCs/>
          <w:color w:val="000000"/>
          <w:sz w:val="24"/>
          <w:szCs w:val="24"/>
          <w:lang w:val="en-GB"/>
        </w:rPr>
        <w:t xml:space="preserve"> under existing legislation</w:t>
      </w:r>
      <w:r w:rsidR="008F4E80">
        <w:rPr>
          <w:b w:val="0"/>
          <w:bCs/>
          <w:color w:val="000000"/>
          <w:sz w:val="24"/>
          <w:szCs w:val="24"/>
          <w:lang w:val="en-GB"/>
        </w:rPr>
        <w:t xml:space="preserve"> (</w:t>
      </w:r>
      <w:r w:rsidR="00A40387" w:rsidRPr="00A40387">
        <w:rPr>
          <w:b w:val="0"/>
          <w:bCs/>
          <w:color w:val="000000"/>
          <w:sz w:val="24"/>
          <w:szCs w:val="24"/>
          <w:lang w:val="en-GB"/>
        </w:rPr>
        <w:t>the Immigration (European Economic Area) Regulations 2016</w:t>
      </w:r>
      <w:r w:rsidR="00F91853">
        <w:rPr>
          <w:b w:val="0"/>
          <w:bCs/>
          <w:color w:val="000000"/>
          <w:sz w:val="24"/>
          <w:szCs w:val="24"/>
          <w:lang w:val="en-GB"/>
        </w:rPr>
        <w:t xml:space="preserve"> </w:t>
      </w:r>
      <w:r w:rsidR="00F91853" w:rsidRPr="00F91853">
        <w:rPr>
          <w:b w:val="0"/>
          <w:bCs/>
          <w:color w:val="000000"/>
          <w:sz w:val="24"/>
          <w:szCs w:val="24"/>
          <w:lang w:val="en-GB"/>
        </w:rPr>
        <w:t>(SI 2016/1052)</w:t>
      </w:r>
      <w:r w:rsidR="00A40387" w:rsidRPr="00A40387">
        <w:rPr>
          <w:b w:val="0"/>
          <w:bCs/>
          <w:color w:val="000000"/>
          <w:sz w:val="24"/>
          <w:szCs w:val="24"/>
          <w:lang w:val="en-GB"/>
        </w:rPr>
        <w:t>)</w:t>
      </w:r>
      <w:r w:rsidR="00982CD2">
        <w:rPr>
          <w:b w:val="0"/>
          <w:bCs/>
          <w:color w:val="000000"/>
          <w:sz w:val="24"/>
          <w:szCs w:val="24"/>
          <w:lang w:val="en-GB"/>
        </w:rPr>
        <w:t xml:space="preserve">, for example </w:t>
      </w:r>
      <w:r w:rsidR="00735207">
        <w:rPr>
          <w:b w:val="0"/>
          <w:bCs/>
          <w:color w:val="000000"/>
          <w:sz w:val="24"/>
          <w:szCs w:val="24"/>
          <w:lang w:val="en-GB"/>
        </w:rPr>
        <w:t xml:space="preserve">as </w:t>
      </w:r>
      <w:r>
        <w:rPr>
          <w:b w:val="0"/>
          <w:bCs/>
          <w:color w:val="000000"/>
          <w:sz w:val="24"/>
          <w:szCs w:val="24"/>
          <w:lang w:val="en-GB"/>
        </w:rPr>
        <w:t xml:space="preserve">a </w:t>
      </w:r>
      <w:r w:rsidR="00735207">
        <w:rPr>
          <w:b w:val="0"/>
          <w:bCs/>
          <w:color w:val="000000"/>
          <w:sz w:val="24"/>
          <w:szCs w:val="24"/>
          <w:lang w:val="en-GB"/>
        </w:rPr>
        <w:t>worker</w:t>
      </w:r>
      <w:r w:rsidR="00982CD2">
        <w:rPr>
          <w:b w:val="0"/>
          <w:bCs/>
          <w:color w:val="000000"/>
          <w:sz w:val="24"/>
          <w:szCs w:val="24"/>
          <w:lang w:val="en-GB"/>
        </w:rPr>
        <w:t xml:space="preserve"> or</w:t>
      </w:r>
      <w:r w:rsidR="00735207">
        <w:rPr>
          <w:b w:val="0"/>
          <w:bCs/>
          <w:color w:val="000000"/>
          <w:sz w:val="24"/>
          <w:szCs w:val="24"/>
          <w:lang w:val="en-GB"/>
        </w:rPr>
        <w:t xml:space="preserve"> self-employed </w:t>
      </w:r>
      <w:r w:rsidR="00982CD2">
        <w:rPr>
          <w:b w:val="0"/>
          <w:bCs/>
          <w:color w:val="000000"/>
          <w:sz w:val="24"/>
          <w:szCs w:val="24"/>
          <w:lang w:val="en-GB"/>
        </w:rPr>
        <w:t>person,</w:t>
      </w:r>
      <w:r w:rsidR="002A7ED4">
        <w:rPr>
          <w:b w:val="0"/>
          <w:bCs/>
          <w:color w:val="000000"/>
          <w:sz w:val="24"/>
          <w:szCs w:val="24"/>
          <w:lang w:val="en-GB"/>
        </w:rPr>
        <w:t xml:space="preserve"> or are deriving a qualifying right from a family member,</w:t>
      </w:r>
      <w:r w:rsidR="00982CD2">
        <w:rPr>
          <w:b w:val="0"/>
          <w:bCs/>
          <w:color w:val="000000"/>
          <w:sz w:val="24"/>
          <w:szCs w:val="24"/>
          <w:lang w:val="en-GB"/>
        </w:rPr>
        <w:t xml:space="preserve"> they will satisfy the right to reside element of the HRT.</w:t>
      </w:r>
    </w:p>
    <w:p w14:paraId="4D8B5927" w14:textId="77777777" w:rsidR="00BA7E58" w:rsidRDefault="00BA7E58" w:rsidP="00BA7E58">
      <w:pPr>
        <w:pStyle w:val="Sectionhead"/>
        <w:rPr>
          <w:sz w:val="28"/>
          <w:szCs w:val="28"/>
          <w:lang w:val="en-GB"/>
        </w:rPr>
      </w:pPr>
      <w:r>
        <w:rPr>
          <w:sz w:val="28"/>
          <w:szCs w:val="28"/>
          <w:lang w:val="en-GB"/>
        </w:rPr>
        <w:t>‘Zambrano’ carers</w:t>
      </w:r>
    </w:p>
    <w:p w14:paraId="75E7FE63" w14:textId="77777777" w:rsidR="002A7ED4" w:rsidRDefault="00BA7E58" w:rsidP="00BA7E58">
      <w:pPr>
        <w:pStyle w:val="Sectionhead"/>
        <w:numPr>
          <w:ilvl w:val="0"/>
          <w:numId w:val="11"/>
        </w:numPr>
        <w:tabs>
          <w:tab w:val="clear" w:pos="360"/>
          <w:tab w:val="num" w:pos="709"/>
        </w:tabs>
        <w:spacing w:before="100" w:beforeAutospacing="1" w:line="240" w:lineRule="atLeast"/>
        <w:ind w:left="567" w:hanging="567"/>
        <w:rPr>
          <w:b w:val="0"/>
          <w:bCs/>
          <w:color w:val="000000"/>
          <w:sz w:val="24"/>
          <w:szCs w:val="24"/>
          <w:lang w:val="en-GB"/>
        </w:rPr>
      </w:pPr>
      <w:r w:rsidRPr="00FA52EE">
        <w:rPr>
          <w:b w:val="0"/>
          <w:bCs/>
          <w:color w:val="000000"/>
          <w:sz w:val="24"/>
          <w:szCs w:val="24"/>
          <w:lang w:val="en-GB"/>
        </w:rPr>
        <w:t xml:space="preserve">A ‘Zambrano’ carer is a </w:t>
      </w:r>
      <w:r>
        <w:rPr>
          <w:b w:val="0"/>
          <w:bCs/>
          <w:color w:val="000000"/>
          <w:sz w:val="24"/>
          <w:szCs w:val="24"/>
          <w:lang w:val="en-GB"/>
        </w:rPr>
        <w:t xml:space="preserve">non-UK and </w:t>
      </w:r>
      <w:r w:rsidRPr="00FA52EE">
        <w:rPr>
          <w:b w:val="0"/>
          <w:bCs/>
          <w:color w:val="000000"/>
          <w:sz w:val="24"/>
          <w:szCs w:val="24"/>
          <w:lang w:val="en-GB"/>
        </w:rPr>
        <w:t>non-EEA national primary carer of a British citizen</w:t>
      </w:r>
      <w:r w:rsidR="002A7ED4">
        <w:rPr>
          <w:b w:val="0"/>
          <w:bCs/>
          <w:color w:val="000000"/>
          <w:sz w:val="24"/>
          <w:szCs w:val="24"/>
          <w:lang w:val="en-GB"/>
        </w:rPr>
        <w:t>.</w:t>
      </w:r>
    </w:p>
    <w:p w14:paraId="60171845" w14:textId="77777777" w:rsidR="00BA7E58" w:rsidRDefault="002A7ED4" w:rsidP="00BA7E58">
      <w:pPr>
        <w:pStyle w:val="Sectionhead"/>
        <w:numPr>
          <w:ilvl w:val="0"/>
          <w:numId w:val="11"/>
        </w:numPr>
        <w:tabs>
          <w:tab w:val="clear" w:pos="360"/>
          <w:tab w:val="num" w:pos="709"/>
        </w:tabs>
        <w:spacing w:before="100" w:beforeAutospacing="1" w:line="240" w:lineRule="atLeast"/>
        <w:ind w:left="567" w:hanging="567"/>
        <w:rPr>
          <w:b w:val="0"/>
          <w:bCs/>
          <w:color w:val="000000"/>
          <w:sz w:val="24"/>
          <w:szCs w:val="24"/>
          <w:lang w:val="en-GB"/>
        </w:rPr>
      </w:pPr>
      <w:r>
        <w:rPr>
          <w:b w:val="0"/>
          <w:bCs/>
          <w:color w:val="000000"/>
          <w:sz w:val="24"/>
          <w:szCs w:val="24"/>
          <w:lang w:val="en-GB"/>
        </w:rPr>
        <w:t>‘Zambrano’ carers have a right to reside in the UK where the British citizen being cared for is residing in the UK and would be forced to leave if the primary carer were required to leave the UK.</w:t>
      </w:r>
    </w:p>
    <w:p w14:paraId="710AF617" w14:textId="77777777" w:rsidR="00BA7E58" w:rsidRDefault="00BA7E58" w:rsidP="00BA7E58">
      <w:pPr>
        <w:pStyle w:val="Sectionhead"/>
        <w:numPr>
          <w:ilvl w:val="0"/>
          <w:numId w:val="11"/>
        </w:numPr>
        <w:tabs>
          <w:tab w:val="clear" w:pos="360"/>
          <w:tab w:val="num" w:pos="709"/>
        </w:tabs>
        <w:spacing w:before="100" w:beforeAutospacing="1" w:line="240" w:lineRule="atLeast"/>
        <w:ind w:left="567" w:hanging="567"/>
        <w:rPr>
          <w:b w:val="0"/>
          <w:bCs/>
          <w:color w:val="000000"/>
          <w:sz w:val="24"/>
          <w:szCs w:val="24"/>
          <w:lang w:val="en-GB"/>
        </w:rPr>
      </w:pPr>
      <w:r>
        <w:rPr>
          <w:b w:val="0"/>
          <w:bCs/>
          <w:color w:val="000000"/>
          <w:sz w:val="24"/>
          <w:szCs w:val="24"/>
          <w:lang w:val="en-GB"/>
        </w:rPr>
        <w:t>A ‘Zambrano’ carer may be granted pre-settled or settled status under the EUSS.</w:t>
      </w:r>
    </w:p>
    <w:p w14:paraId="4C8FC731" w14:textId="77777777" w:rsidR="00BA7E58" w:rsidRDefault="00BA7E58" w:rsidP="00BA7E58">
      <w:pPr>
        <w:pStyle w:val="Sectionhead"/>
        <w:numPr>
          <w:ilvl w:val="0"/>
          <w:numId w:val="11"/>
        </w:numPr>
        <w:tabs>
          <w:tab w:val="clear" w:pos="360"/>
          <w:tab w:val="num" w:pos="709"/>
        </w:tabs>
        <w:spacing w:before="100" w:beforeAutospacing="1" w:line="240" w:lineRule="atLeast"/>
        <w:ind w:left="567" w:hanging="567"/>
        <w:rPr>
          <w:b w:val="0"/>
          <w:bCs/>
          <w:color w:val="000000"/>
          <w:sz w:val="24"/>
          <w:szCs w:val="24"/>
          <w:lang w:val="en-GB"/>
        </w:rPr>
      </w:pPr>
      <w:r>
        <w:rPr>
          <w:b w:val="0"/>
          <w:bCs/>
          <w:color w:val="000000"/>
          <w:sz w:val="24"/>
          <w:szCs w:val="24"/>
          <w:lang w:val="en-GB"/>
        </w:rPr>
        <w:t>Where a ‘Zambrano’ carer has been granted pre-settled status</w:t>
      </w:r>
      <w:r w:rsidR="00CD0634">
        <w:rPr>
          <w:b w:val="0"/>
          <w:bCs/>
          <w:color w:val="000000"/>
          <w:sz w:val="24"/>
          <w:szCs w:val="24"/>
          <w:lang w:val="en-GB"/>
        </w:rPr>
        <w:t xml:space="preserve"> (LLR)</w:t>
      </w:r>
      <w:r>
        <w:rPr>
          <w:b w:val="0"/>
          <w:bCs/>
          <w:color w:val="000000"/>
          <w:sz w:val="24"/>
          <w:szCs w:val="24"/>
          <w:lang w:val="en-GB"/>
        </w:rPr>
        <w:t xml:space="preserve"> under the EUSS, this is not a relevant right to reside for HB.</w:t>
      </w:r>
    </w:p>
    <w:p w14:paraId="42D97FF0" w14:textId="77777777" w:rsidR="00B72EB0" w:rsidRPr="008F4E80" w:rsidRDefault="00BA7E58" w:rsidP="008E5558">
      <w:pPr>
        <w:pStyle w:val="Sectionhead"/>
        <w:numPr>
          <w:ilvl w:val="0"/>
          <w:numId w:val="11"/>
        </w:numPr>
        <w:tabs>
          <w:tab w:val="clear" w:pos="360"/>
          <w:tab w:val="num" w:pos="709"/>
        </w:tabs>
        <w:spacing w:before="100" w:beforeAutospacing="1" w:after="100" w:afterAutospacing="1" w:line="240" w:lineRule="atLeast"/>
        <w:ind w:left="567" w:hanging="567"/>
        <w:rPr>
          <w:b w:val="0"/>
          <w:bCs/>
          <w:color w:val="FF0000"/>
          <w:sz w:val="24"/>
          <w:szCs w:val="24"/>
          <w:lang w:val="en-GB"/>
        </w:rPr>
      </w:pPr>
      <w:r w:rsidRPr="008F4E80">
        <w:rPr>
          <w:b w:val="0"/>
          <w:bCs/>
          <w:color w:val="000000"/>
          <w:sz w:val="24"/>
          <w:szCs w:val="24"/>
          <w:lang w:val="en-GB"/>
        </w:rPr>
        <w:t>Where a ‘Zambrano’ carer has been granted settled status</w:t>
      </w:r>
      <w:r w:rsidR="00CD0634" w:rsidRPr="008F4E80">
        <w:rPr>
          <w:b w:val="0"/>
          <w:bCs/>
          <w:color w:val="000000"/>
          <w:sz w:val="24"/>
          <w:szCs w:val="24"/>
          <w:lang w:val="en-GB"/>
        </w:rPr>
        <w:t xml:space="preserve"> (ILR)</w:t>
      </w:r>
      <w:r w:rsidRPr="008F4E80">
        <w:rPr>
          <w:b w:val="0"/>
          <w:bCs/>
          <w:color w:val="000000"/>
          <w:sz w:val="24"/>
          <w:szCs w:val="24"/>
          <w:lang w:val="en-GB"/>
        </w:rPr>
        <w:t xml:space="preserve"> under the EUSS, they will satisfy the right to reside element of the HRT for the purposes of claiming HB.</w:t>
      </w:r>
    </w:p>
    <w:sectPr w:rsidR="00B72EB0" w:rsidRPr="008F4E80" w:rsidSect="009475E9">
      <w:headerReference w:type="default" r:id="rId14"/>
      <w:pgSz w:w="11909" w:h="16834" w:code="9"/>
      <w:pgMar w:top="1440" w:right="1134" w:bottom="1134" w:left="1797" w:header="709" w:footer="709"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4C148" w14:textId="77777777" w:rsidR="00051067" w:rsidRDefault="00051067" w:rsidP="005D08A8">
      <w:pPr>
        <w:pStyle w:val="Sub10"/>
      </w:pPr>
      <w:r>
        <w:separator/>
      </w:r>
    </w:p>
  </w:endnote>
  <w:endnote w:type="continuationSeparator" w:id="0">
    <w:p w14:paraId="721EDA10" w14:textId="77777777" w:rsidR="00051067" w:rsidRDefault="00051067" w:rsidP="005D08A8">
      <w:pPr>
        <w:pStyle w:val="Sub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Arial (W1)">
    <w:altName w:val="Arial"/>
    <w:charset w:val="00"/>
    <w:family w:val="swiss"/>
    <w:pitch w:val="variable"/>
    <w:sig w:usb0="20007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1CF01" w14:textId="77777777" w:rsidR="005D08A8" w:rsidRDefault="00F34935">
    <w:pPr>
      <w:pStyle w:val="Footer"/>
      <w:jc w:val="right"/>
      <w:rPr>
        <w:rFonts w:ascii="Arial" w:hAnsi="Arial"/>
        <w:b/>
      </w:rPr>
    </w:pPr>
    <w:r>
      <w:rPr>
        <w:noProof/>
        <w:lang w:eastAsia="en-GB"/>
      </w:rPr>
      <mc:AlternateContent>
        <mc:Choice Requires="wps">
          <w:drawing>
            <wp:anchor distT="0" distB="0" distL="114300" distR="114300" simplePos="0" relativeHeight="251657216" behindDoc="0" locked="0" layoutInCell="0" allowOverlap="1" wp14:anchorId="7C78F736" wp14:editId="47B0D2E5">
              <wp:simplePos x="0" y="0"/>
              <wp:positionH relativeFrom="column">
                <wp:posOffset>3977640</wp:posOffset>
              </wp:positionH>
              <wp:positionV relativeFrom="paragraph">
                <wp:posOffset>-786130</wp:posOffset>
              </wp:positionV>
              <wp:extent cx="1920240" cy="82296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7B9E7" w14:textId="0BD14D4C" w:rsidR="005D08A8" w:rsidRDefault="005D08A8">
                          <w:pPr>
                            <w:rPr>
                              <w:rFonts w:ascii="Times" w:hAnsi="Times"/>
                              <w:color w:val="C0C0C0"/>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8F736" id="_x0000_t202" coordsize="21600,21600" o:spt="202" path="m,l,21600r21600,l21600,xe">
              <v:stroke joinstyle="miter"/>
              <v:path gradientshapeok="t" o:connecttype="rect"/>
            </v:shapetype>
            <v:shape id="Text Box 18" o:spid="_x0000_s1026" type="#_x0000_t202" style="position:absolute;left:0;text-align:left;margin-left:313.2pt;margin-top:-61.9pt;width:151.2pt;height:6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uEu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" o:allowincell="f" filled="f" stroked="f">
              <v:textbox>
                <w:txbxContent>
                  <w:p w14:paraId="7FB7B9E7" w14:textId="0BD14D4C" w:rsidR="005D08A8" w:rsidRDefault="005D08A8">
                    <w:pPr>
                      <w:rPr>
                        <w:rFonts w:ascii="Times" w:hAnsi="Times"/>
                        <w:color w:val="C0C0C0"/>
                        <w:sz w:val="72"/>
                      </w:rPr>
                    </w:pP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43310" w14:textId="77777777" w:rsidR="005D08A8" w:rsidRDefault="00F34935">
    <w:pPr>
      <w:pStyle w:val="Footer"/>
      <w:pBdr>
        <w:bottom w:val="single" w:sz="4" w:space="1" w:color="auto"/>
      </w:pBdr>
      <w:jc w:val="right"/>
      <w:rPr>
        <w:rFonts w:ascii="Arial" w:hAnsi="Arial"/>
        <w:b/>
      </w:rPr>
    </w:pPr>
    <w:r>
      <w:rPr>
        <w:noProof/>
        <w:lang w:eastAsia="en-GB"/>
      </w:rPr>
      <mc:AlternateContent>
        <mc:Choice Requires="wps">
          <w:drawing>
            <wp:anchor distT="0" distB="0" distL="114300" distR="114300" simplePos="0" relativeHeight="251658240" behindDoc="0" locked="0" layoutInCell="0" allowOverlap="1" wp14:anchorId="659773D4" wp14:editId="7E4387A5">
              <wp:simplePos x="0" y="0"/>
              <wp:positionH relativeFrom="column">
                <wp:posOffset>3977640</wp:posOffset>
              </wp:positionH>
              <wp:positionV relativeFrom="paragraph">
                <wp:posOffset>-786130</wp:posOffset>
              </wp:positionV>
              <wp:extent cx="1920240" cy="82296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7BDA5" w14:textId="77777777" w:rsidR="00A5791B" w:rsidRDefault="00A579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73D4" id="_x0000_t202" coordsize="21600,21600" o:spt="202" path="m,l,21600r21600,l21600,xe">
              <v:stroke joinstyle="miter"/>
              <v:path gradientshapeok="t" o:connecttype="rect"/>
            </v:shapetype>
            <v:shape id="Text Box 19" o:spid="_x0000_s1027" type="#_x0000_t202" style="position:absolute;left:0;text-align:left;margin-left:313.2pt;margin-top:-61.9pt;width:151.2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" o:allowincell="f" filled="f" stroked="f">
              <v:textbox>
                <w:txbxContent>
                  <w:p w14:paraId="0467BDA5" w14:textId="77777777" w:rsidR="00A5791B" w:rsidRDefault="00A5791B"/>
                </w:txbxContent>
              </v:textbox>
            </v:shape>
          </w:pict>
        </mc:Fallback>
      </mc:AlternateContent>
    </w:r>
    <w:r w:rsidR="005D08A8">
      <w:rPr>
        <w:rFonts w:ascii="Arial" w:hAnsi="Arial"/>
        <w:b/>
      </w:rPr>
      <w:t>Adjudication and Operations circular</w:t>
    </w:r>
  </w:p>
  <w:p w14:paraId="66D7CD9E" w14:textId="488DF4F6" w:rsidR="005D08A8" w:rsidRDefault="00A5791B">
    <w:pPr>
      <w:pStyle w:val="Footer"/>
      <w:jc w:val="right"/>
    </w:pPr>
    <w:r>
      <w:rPr>
        <w:rFonts w:ascii="Arial" w:hAnsi="Arial"/>
      </w:rPr>
      <w:t>8</w:t>
    </w:r>
    <w:r w:rsidR="00155E07">
      <w:rPr>
        <w:rFonts w:ascii="Arial" w:hAnsi="Arial"/>
      </w:rPr>
      <w:t xml:space="preserve"> </w:t>
    </w:r>
    <w:r w:rsidR="00A47A17">
      <w:rPr>
        <w:rFonts w:ascii="Arial" w:hAnsi="Arial"/>
      </w:rPr>
      <w:t>M</w:t>
    </w:r>
    <w:r w:rsidR="00EC7FFB">
      <w:rPr>
        <w:rFonts w:ascii="Arial" w:hAnsi="Arial"/>
      </w:rPr>
      <w:t>ay</w:t>
    </w:r>
    <w:r w:rsidR="00A47A17">
      <w:rPr>
        <w:rFonts w:ascii="Arial" w:hAnsi="Arial"/>
      </w:rPr>
      <w:t xml:space="preserve"> </w:t>
    </w:r>
    <w:r w:rsidR="00427981">
      <w:rPr>
        <w:rFonts w:ascii="Arial" w:hAnsi="Arial"/>
      </w:rPr>
      <w:t>201</w:t>
    </w:r>
    <w:r w:rsidR="001C39DC">
      <w:rPr>
        <w:rFonts w:ascii="Arial" w:hAnsi="Arial"/>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848B7" w14:textId="77777777" w:rsidR="00051067" w:rsidRDefault="00051067" w:rsidP="005D08A8">
      <w:pPr>
        <w:pStyle w:val="Sub10"/>
      </w:pPr>
      <w:r>
        <w:separator/>
      </w:r>
    </w:p>
  </w:footnote>
  <w:footnote w:type="continuationSeparator" w:id="0">
    <w:p w14:paraId="6FEFBB79" w14:textId="77777777" w:rsidR="00051067" w:rsidRDefault="00051067" w:rsidP="005D08A8">
      <w:pPr>
        <w:pStyle w:val="Sub1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1C368" w14:textId="77777777" w:rsidR="005D08A8" w:rsidRDefault="005D08A8">
    <w:pPr>
      <w:pStyle w:val="Header"/>
      <w:jc w:val="right"/>
      <w:rPr>
        <w:rFonts w:ascii="Arial" w:hAnsi="Arial"/>
        <w:b/>
        <w:sz w:val="22"/>
      </w:rPr>
    </w:pPr>
  </w:p>
  <w:p w14:paraId="38E231DE" w14:textId="77777777" w:rsidR="005D08A8" w:rsidRDefault="005D08A8">
    <w:pPr>
      <w:pStyle w:val="Header"/>
      <w:jc w:val="right"/>
      <w:rPr>
        <w:rFonts w:ascii="Arial" w:hAnsi="Arial" w:cs="Arial"/>
        <w:b/>
        <w:bCs/>
        <w:sz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0E64B" w14:textId="5F60986B" w:rsidR="005D08A8" w:rsidRDefault="00427981">
    <w:pPr>
      <w:pStyle w:val="Header"/>
      <w:pBdr>
        <w:bottom w:val="single" w:sz="4" w:space="1" w:color="auto"/>
      </w:pBdr>
      <w:jc w:val="right"/>
      <w:rPr>
        <w:rFonts w:ascii="Arial" w:hAnsi="Arial"/>
        <w:b/>
        <w:sz w:val="22"/>
      </w:rPr>
    </w:pPr>
    <w:r>
      <w:rPr>
        <w:rFonts w:ascii="Arial" w:hAnsi="Arial"/>
        <w:b/>
        <w:sz w:val="22"/>
      </w:rPr>
      <w:t xml:space="preserve">HB Circular </w:t>
    </w:r>
    <w:r w:rsidR="00EC7FFB">
      <w:rPr>
        <w:rFonts w:ascii="Arial" w:hAnsi="Arial"/>
        <w:b/>
        <w:sz w:val="22"/>
      </w:rPr>
      <w:t>A7</w:t>
    </w:r>
    <w:r w:rsidR="00A17952">
      <w:rPr>
        <w:rFonts w:ascii="Arial" w:hAnsi="Arial"/>
        <w:b/>
        <w:sz w:val="22"/>
      </w:rPr>
      <w:t>/</w:t>
    </w:r>
    <w:r>
      <w:rPr>
        <w:rFonts w:ascii="Arial" w:hAnsi="Arial"/>
        <w:b/>
        <w:sz w:val="22"/>
      </w:rPr>
      <w:t>201</w:t>
    </w:r>
    <w:r w:rsidR="001C39DC">
      <w:rPr>
        <w:rFonts w:ascii="Arial" w:hAnsi="Arial"/>
        <w:b/>
        <w:sz w:val="22"/>
      </w:rPr>
      <w:t>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648D3" w14:textId="17C41ED5" w:rsidR="00C63F53" w:rsidRDefault="00926768" w:rsidP="00C63F53">
    <w:pPr>
      <w:pStyle w:val="Header"/>
      <w:pBdr>
        <w:bottom w:val="single" w:sz="4" w:space="1" w:color="auto"/>
      </w:pBdr>
      <w:jc w:val="right"/>
      <w:rPr>
        <w:rFonts w:ascii="Arial" w:hAnsi="Arial"/>
        <w:b/>
        <w:sz w:val="22"/>
      </w:rPr>
    </w:pPr>
    <w:r>
      <w:rPr>
        <w:rFonts w:ascii="Arial" w:hAnsi="Arial"/>
        <w:b/>
        <w:sz w:val="22"/>
      </w:rPr>
      <w:t>H</w:t>
    </w:r>
    <w:r w:rsidR="00F7226F">
      <w:rPr>
        <w:rFonts w:ascii="Arial" w:hAnsi="Arial"/>
        <w:b/>
        <w:sz w:val="22"/>
      </w:rPr>
      <w:t xml:space="preserve">B Circular </w:t>
    </w:r>
    <w:r w:rsidR="00155E07">
      <w:rPr>
        <w:rFonts w:ascii="Arial" w:hAnsi="Arial"/>
        <w:b/>
        <w:sz w:val="22"/>
      </w:rPr>
      <w:t>A7</w:t>
    </w:r>
    <w:r w:rsidR="00F7226F">
      <w:rPr>
        <w:rFonts w:ascii="Arial" w:hAnsi="Arial"/>
        <w:b/>
        <w:sz w:val="22"/>
      </w:rPr>
      <w:t>/201</w:t>
    </w:r>
    <w:r w:rsidR="001C39DC">
      <w:rPr>
        <w:rFonts w:ascii="Arial" w:hAnsi="Arial"/>
        <w:b/>
        <w:sz w:val="22"/>
      </w:rPr>
      <w:t>9</w:t>
    </w:r>
  </w:p>
  <w:p w14:paraId="2DF4B7DF" w14:textId="77777777" w:rsidR="00C63F53" w:rsidRPr="009475E9" w:rsidRDefault="009475E9" w:rsidP="00C63F53">
    <w:pPr>
      <w:pStyle w:val="Header"/>
      <w:rPr>
        <w:rFonts w:ascii="Arial" w:hAnsi="Arial"/>
        <w:b/>
        <w:bCs/>
        <w:sz w:val="24"/>
        <w:szCs w:val="24"/>
      </w:rPr>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0245C"/>
    <w:multiLevelType w:val="singleLevel"/>
    <w:tmpl w:val="EE5E53A2"/>
    <w:lvl w:ilvl="0">
      <w:start w:val="1"/>
      <w:numFmt w:val="bullet"/>
      <w:pStyle w:val="sub1"/>
      <w:lvlText w:val=""/>
      <w:lvlJc w:val="left"/>
      <w:pPr>
        <w:tabs>
          <w:tab w:val="num" w:pos="360"/>
        </w:tabs>
        <w:ind w:left="360" w:hanging="360"/>
      </w:pPr>
      <w:rPr>
        <w:rFonts w:ascii="Symbol" w:hAnsi="Symbol" w:hint="default"/>
        <w:sz w:val="18"/>
      </w:rPr>
    </w:lvl>
  </w:abstractNum>
  <w:abstractNum w:abstractNumId="1" w15:restartNumberingAfterBreak="0">
    <w:nsid w:val="1DB02B1F"/>
    <w:multiLevelType w:val="hybridMultilevel"/>
    <w:tmpl w:val="2AC2B174"/>
    <w:lvl w:ilvl="0" w:tplc="EECCCB94">
      <w:start w:val="1"/>
      <w:numFmt w:val="decimal"/>
      <w:lvlText w:val="%1."/>
      <w:lvlJc w:val="left"/>
      <w:pPr>
        <w:tabs>
          <w:tab w:val="num" w:pos="360"/>
        </w:tabs>
        <w:ind w:left="360" w:hanging="360"/>
      </w:pPr>
      <w:rPr>
        <w:rFonts w:hint="default"/>
        <w:b w:val="0"/>
        <w:bCs/>
        <w:color w:val="auto"/>
      </w:rPr>
    </w:lvl>
    <w:lvl w:ilvl="1" w:tplc="08090019">
      <w:start w:val="1"/>
      <w:numFmt w:val="lowerLetter"/>
      <w:lvlText w:val="%2."/>
      <w:lvlJc w:val="left"/>
      <w:pPr>
        <w:tabs>
          <w:tab w:val="num" w:pos="1014"/>
        </w:tabs>
        <w:ind w:left="1014" w:hanging="360"/>
      </w:pPr>
    </w:lvl>
    <w:lvl w:ilvl="2" w:tplc="0809001B" w:tentative="1">
      <w:start w:val="1"/>
      <w:numFmt w:val="lowerRoman"/>
      <w:lvlText w:val="%3."/>
      <w:lvlJc w:val="right"/>
      <w:pPr>
        <w:tabs>
          <w:tab w:val="num" w:pos="1734"/>
        </w:tabs>
        <w:ind w:left="1734" w:hanging="180"/>
      </w:pPr>
    </w:lvl>
    <w:lvl w:ilvl="3" w:tplc="0809000F" w:tentative="1">
      <w:start w:val="1"/>
      <w:numFmt w:val="decimal"/>
      <w:lvlText w:val="%4."/>
      <w:lvlJc w:val="left"/>
      <w:pPr>
        <w:tabs>
          <w:tab w:val="num" w:pos="2454"/>
        </w:tabs>
        <w:ind w:left="2454" w:hanging="360"/>
      </w:pPr>
    </w:lvl>
    <w:lvl w:ilvl="4" w:tplc="08090019" w:tentative="1">
      <w:start w:val="1"/>
      <w:numFmt w:val="lowerLetter"/>
      <w:lvlText w:val="%5."/>
      <w:lvlJc w:val="left"/>
      <w:pPr>
        <w:tabs>
          <w:tab w:val="num" w:pos="3174"/>
        </w:tabs>
        <w:ind w:left="3174" w:hanging="360"/>
      </w:pPr>
    </w:lvl>
    <w:lvl w:ilvl="5" w:tplc="0809001B" w:tentative="1">
      <w:start w:val="1"/>
      <w:numFmt w:val="lowerRoman"/>
      <w:lvlText w:val="%6."/>
      <w:lvlJc w:val="right"/>
      <w:pPr>
        <w:tabs>
          <w:tab w:val="num" w:pos="3894"/>
        </w:tabs>
        <w:ind w:left="3894" w:hanging="180"/>
      </w:pPr>
    </w:lvl>
    <w:lvl w:ilvl="6" w:tplc="0809000F" w:tentative="1">
      <w:start w:val="1"/>
      <w:numFmt w:val="decimal"/>
      <w:lvlText w:val="%7."/>
      <w:lvlJc w:val="left"/>
      <w:pPr>
        <w:tabs>
          <w:tab w:val="num" w:pos="4614"/>
        </w:tabs>
        <w:ind w:left="4614" w:hanging="360"/>
      </w:pPr>
    </w:lvl>
    <w:lvl w:ilvl="7" w:tplc="08090019" w:tentative="1">
      <w:start w:val="1"/>
      <w:numFmt w:val="lowerLetter"/>
      <w:lvlText w:val="%8."/>
      <w:lvlJc w:val="left"/>
      <w:pPr>
        <w:tabs>
          <w:tab w:val="num" w:pos="5334"/>
        </w:tabs>
        <w:ind w:left="5334" w:hanging="360"/>
      </w:pPr>
    </w:lvl>
    <w:lvl w:ilvl="8" w:tplc="0809001B" w:tentative="1">
      <w:start w:val="1"/>
      <w:numFmt w:val="lowerRoman"/>
      <w:lvlText w:val="%9."/>
      <w:lvlJc w:val="right"/>
      <w:pPr>
        <w:tabs>
          <w:tab w:val="num" w:pos="6054"/>
        </w:tabs>
        <w:ind w:left="6054" w:hanging="180"/>
      </w:pPr>
    </w:lvl>
  </w:abstractNum>
  <w:abstractNum w:abstractNumId="2" w15:restartNumberingAfterBreak="0">
    <w:nsid w:val="28E92255"/>
    <w:multiLevelType w:val="hybridMultilevel"/>
    <w:tmpl w:val="8C2A9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EE6250"/>
    <w:multiLevelType w:val="singleLevel"/>
    <w:tmpl w:val="6F520A2C"/>
    <w:lvl w:ilvl="0">
      <w:start w:val="1"/>
      <w:numFmt w:val="bullet"/>
      <w:pStyle w:val="Bulletlist"/>
      <w:lvlText w:val=""/>
      <w:lvlJc w:val="left"/>
      <w:pPr>
        <w:tabs>
          <w:tab w:val="num" w:pos="360"/>
        </w:tabs>
        <w:ind w:left="360" w:hanging="360"/>
      </w:pPr>
      <w:rPr>
        <w:rFonts w:ascii="Symbol" w:hAnsi="Symbol" w:hint="default"/>
      </w:rPr>
    </w:lvl>
  </w:abstractNum>
  <w:abstractNum w:abstractNumId="4" w15:restartNumberingAfterBreak="0">
    <w:nsid w:val="31CD47A1"/>
    <w:multiLevelType w:val="singleLevel"/>
    <w:tmpl w:val="A16C1E80"/>
    <w:lvl w:ilvl="0">
      <w:start w:val="1"/>
      <w:numFmt w:val="bullet"/>
      <w:pStyle w:val="Bullet1"/>
      <w:lvlText w:val=""/>
      <w:lvlJc w:val="left"/>
      <w:pPr>
        <w:tabs>
          <w:tab w:val="num" w:pos="360"/>
        </w:tabs>
        <w:ind w:left="357" w:hanging="357"/>
      </w:pPr>
      <w:rPr>
        <w:rFonts w:ascii="Symbol" w:hAnsi="Symbol" w:hint="default"/>
        <w:sz w:val="24"/>
      </w:rPr>
    </w:lvl>
  </w:abstractNum>
  <w:abstractNum w:abstractNumId="5" w15:restartNumberingAfterBreak="0">
    <w:nsid w:val="3D1872C2"/>
    <w:multiLevelType w:val="hybridMultilevel"/>
    <w:tmpl w:val="B8C2816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46044FF4"/>
    <w:multiLevelType w:val="hybridMultilevel"/>
    <w:tmpl w:val="395AB404"/>
    <w:lvl w:ilvl="0" w:tplc="360E1148">
      <w:numFmt w:val="bullet"/>
      <w:lvlText w:val="-"/>
      <w:lvlJc w:val="left"/>
      <w:pPr>
        <w:tabs>
          <w:tab w:val="num" w:pos="360"/>
        </w:tabs>
        <w:ind w:left="360" w:hanging="360"/>
      </w:pPr>
      <w:rPr>
        <w:rFonts w:ascii="Arial" w:eastAsia="Times New Roman" w:hAnsi="Arial" w:cs="Aria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4DA4519B"/>
    <w:multiLevelType w:val="multilevel"/>
    <w:tmpl w:val="0A188E3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572C7940"/>
    <w:multiLevelType w:val="multilevel"/>
    <w:tmpl w:val="EDF0B55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579A7548"/>
    <w:multiLevelType w:val="hybridMultilevel"/>
    <w:tmpl w:val="670CBF74"/>
    <w:lvl w:ilvl="0" w:tplc="2716E502">
      <w:start w:val="1"/>
      <w:numFmt w:val="bullet"/>
      <w:lvlRestart w:val="0"/>
      <w:lvlText w:val=""/>
      <w:lvlJc w:val="left"/>
      <w:pPr>
        <w:tabs>
          <w:tab w:val="num" w:pos="717"/>
        </w:tabs>
        <w:ind w:left="717" w:hanging="357"/>
      </w:pPr>
      <w:rPr>
        <w:rFonts w:ascii="Symbol" w:hAnsi="Symbol" w:hint="default"/>
      </w:rPr>
    </w:lvl>
    <w:lvl w:ilvl="1" w:tplc="EECCCB94">
      <w:start w:val="1"/>
      <w:numFmt w:val="decimal"/>
      <w:lvlText w:val="%2."/>
      <w:lvlJc w:val="left"/>
      <w:pPr>
        <w:tabs>
          <w:tab w:val="num" w:pos="1440"/>
        </w:tabs>
        <w:ind w:left="1440" w:hanging="360"/>
      </w:pPr>
      <w:rPr>
        <w:rFonts w:hint="default"/>
        <w:b w:val="0"/>
        <w:bCs/>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08C294F"/>
    <w:multiLevelType w:val="hybridMultilevel"/>
    <w:tmpl w:val="EDF0B55E"/>
    <w:lvl w:ilvl="0" w:tplc="142A0682">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6341112B"/>
    <w:multiLevelType w:val="singleLevel"/>
    <w:tmpl w:val="ED044378"/>
    <w:lvl w:ilvl="0">
      <w:start w:val="1"/>
      <w:numFmt w:val="decimal"/>
      <w:pStyle w:val="ReportBody4"/>
      <w:lvlText w:val="4.%1  "/>
      <w:lvlJc w:val="left"/>
      <w:pPr>
        <w:tabs>
          <w:tab w:val="num" w:pos="720"/>
        </w:tabs>
        <w:ind w:left="0" w:firstLine="0"/>
      </w:pPr>
      <w:rPr>
        <w:rFonts w:ascii="CG Omega" w:hAnsi="CG Omega" w:hint="default"/>
        <w:b/>
        <w:sz w:val="21"/>
      </w:rPr>
    </w:lvl>
  </w:abstractNum>
  <w:abstractNum w:abstractNumId="12" w15:restartNumberingAfterBreak="0">
    <w:nsid w:val="675C0A9E"/>
    <w:multiLevelType w:val="multilevel"/>
    <w:tmpl w:val="2AC2B174"/>
    <w:lvl w:ilvl="0">
      <w:start w:val="1"/>
      <w:numFmt w:val="decimal"/>
      <w:lvlText w:val="%1."/>
      <w:lvlJc w:val="left"/>
      <w:pPr>
        <w:tabs>
          <w:tab w:val="num" w:pos="360"/>
        </w:tabs>
        <w:ind w:left="360" w:hanging="360"/>
      </w:pPr>
      <w:rPr>
        <w:rFonts w:hint="default"/>
        <w:b w:val="0"/>
        <w:bCs/>
        <w:color w:val="auto"/>
      </w:rPr>
    </w:lvl>
    <w:lvl w:ilvl="1">
      <w:start w:val="1"/>
      <w:numFmt w:val="lowerLetter"/>
      <w:lvlText w:val="%2."/>
      <w:lvlJc w:val="left"/>
      <w:pPr>
        <w:tabs>
          <w:tab w:val="num" w:pos="1014"/>
        </w:tabs>
        <w:ind w:left="1014" w:hanging="360"/>
      </w:pPr>
    </w:lvl>
    <w:lvl w:ilvl="2">
      <w:start w:val="1"/>
      <w:numFmt w:val="lowerRoman"/>
      <w:lvlText w:val="%3."/>
      <w:lvlJc w:val="right"/>
      <w:pPr>
        <w:tabs>
          <w:tab w:val="num" w:pos="1734"/>
        </w:tabs>
        <w:ind w:left="1734" w:hanging="180"/>
      </w:pPr>
    </w:lvl>
    <w:lvl w:ilvl="3">
      <w:start w:val="1"/>
      <w:numFmt w:val="decimal"/>
      <w:lvlText w:val="%4."/>
      <w:lvlJc w:val="left"/>
      <w:pPr>
        <w:tabs>
          <w:tab w:val="num" w:pos="2454"/>
        </w:tabs>
        <w:ind w:left="2454" w:hanging="360"/>
      </w:pPr>
    </w:lvl>
    <w:lvl w:ilvl="4">
      <w:start w:val="1"/>
      <w:numFmt w:val="lowerLetter"/>
      <w:lvlText w:val="%5."/>
      <w:lvlJc w:val="left"/>
      <w:pPr>
        <w:tabs>
          <w:tab w:val="num" w:pos="3174"/>
        </w:tabs>
        <w:ind w:left="3174" w:hanging="360"/>
      </w:pPr>
    </w:lvl>
    <w:lvl w:ilvl="5">
      <w:start w:val="1"/>
      <w:numFmt w:val="lowerRoman"/>
      <w:lvlText w:val="%6."/>
      <w:lvlJc w:val="right"/>
      <w:pPr>
        <w:tabs>
          <w:tab w:val="num" w:pos="3894"/>
        </w:tabs>
        <w:ind w:left="3894" w:hanging="180"/>
      </w:pPr>
    </w:lvl>
    <w:lvl w:ilvl="6">
      <w:start w:val="1"/>
      <w:numFmt w:val="decimal"/>
      <w:lvlText w:val="%7."/>
      <w:lvlJc w:val="left"/>
      <w:pPr>
        <w:tabs>
          <w:tab w:val="num" w:pos="4614"/>
        </w:tabs>
        <w:ind w:left="4614" w:hanging="360"/>
      </w:pPr>
    </w:lvl>
    <w:lvl w:ilvl="7">
      <w:start w:val="1"/>
      <w:numFmt w:val="lowerLetter"/>
      <w:lvlText w:val="%8."/>
      <w:lvlJc w:val="left"/>
      <w:pPr>
        <w:tabs>
          <w:tab w:val="num" w:pos="5334"/>
        </w:tabs>
        <w:ind w:left="5334" w:hanging="360"/>
      </w:pPr>
    </w:lvl>
    <w:lvl w:ilvl="8">
      <w:start w:val="1"/>
      <w:numFmt w:val="lowerRoman"/>
      <w:lvlText w:val="%9."/>
      <w:lvlJc w:val="right"/>
      <w:pPr>
        <w:tabs>
          <w:tab w:val="num" w:pos="6054"/>
        </w:tabs>
        <w:ind w:left="6054" w:hanging="180"/>
      </w:pPr>
    </w:lvl>
  </w:abstractNum>
  <w:abstractNum w:abstractNumId="13" w15:restartNumberingAfterBreak="0">
    <w:nsid w:val="683C004E"/>
    <w:multiLevelType w:val="multilevel"/>
    <w:tmpl w:val="2AC2B174"/>
    <w:lvl w:ilvl="0">
      <w:start w:val="1"/>
      <w:numFmt w:val="decimal"/>
      <w:lvlText w:val="%1."/>
      <w:lvlJc w:val="left"/>
      <w:pPr>
        <w:tabs>
          <w:tab w:val="num" w:pos="360"/>
        </w:tabs>
        <w:ind w:left="360" w:hanging="360"/>
      </w:pPr>
      <w:rPr>
        <w:rFonts w:hint="default"/>
        <w:b w:val="0"/>
        <w:bCs/>
        <w:color w:val="auto"/>
      </w:rPr>
    </w:lvl>
    <w:lvl w:ilvl="1">
      <w:start w:val="1"/>
      <w:numFmt w:val="lowerLetter"/>
      <w:lvlText w:val="%2."/>
      <w:lvlJc w:val="left"/>
      <w:pPr>
        <w:tabs>
          <w:tab w:val="num" w:pos="1014"/>
        </w:tabs>
        <w:ind w:left="1014" w:hanging="360"/>
      </w:pPr>
    </w:lvl>
    <w:lvl w:ilvl="2">
      <w:start w:val="1"/>
      <w:numFmt w:val="lowerRoman"/>
      <w:lvlText w:val="%3."/>
      <w:lvlJc w:val="right"/>
      <w:pPr>
        <w:tabs>
          <w:tab w:val="num" w:pos="1734"/>
        </w:tabs>
        <w:ind w:left="1734" w:hanging="180"/>
      </w:pPr>
    </w:lvl>
    <w:lvl w:ilvl="3">
      <w:start w:val="1"/>
      <w:numFmt w:val="decimal"/>
      <w:lvlText w:val="%4."/>
      <w:lvlJc w:val="left"/>
      <w:pPr>
        <w:tabs>
          <w:tab w:val="num" w:pos="2454"/>
        </w:tabs>
        <w:ind w:left="2454" w:hanging="360"/>
      </w:pPr>
    </w:lvl>
    <w:lvl w:ilvl="4">
      <w:start w:val="1"/>
      <w:numFmt w:val="lowerLetter"/>
      <w:lvlText w:val="%5."/>
      <w:lvlJc w:val="left"/>
      <w:pPr>
        <w:tabs>
          <w:tab w:val="num" w:pos="3174"/>
        </w:tabs>
        <w:ind w:left="3174" w:hanging="360"/>
      </w:pPr>
    </w:lvl>
    <w:lvl w:ilvl="5">
      <w:start w:val="1"/>
      <w:numFmt w:val="lowerRoman"/>
      <w:lvlText w:val="%6."/>
      <w:lvlJc w:val="right"/>
      <w:pPr>
        <w:tabs>
          <w:tab w:val="num" w:pos="3894"/>
        </w:tabs>
        <w:ind w:left="3894" w:hanging="180"/>
      </w:pPr>
    </w:lvl>
    <w:lvl w:ilvl="6">
      <w:start w:val="1"/>
      <w:numFmt w:val="decimal"/>
      <w:lvlText w:val="%7."/>
      <w:lvlJc w:val="left"/>
      <w:pPr>
        <w:tabs>
          <w:tab w:val="num" w:pos="4614"/>
        </w:tabs>
        <w:ind w:left="4614" w:hanging="360"/>
      </w:pPr>
    </w:lvl>
    <w:lvl w:ilvl="7">
      <w:start w:val="1"/>
      <w:numFmt w:val="lowerLetter"/>
      <w:lvlText w:val="%8."/>
      <w:lvlJc w:val="left"/>
      <w:pPr>
        <w:tabs>
          <w:tab w:val="num" w:pos="5334"/>
        </w:tabs>
        <w:ind w:left="5334" w:hanging="360"/>
      </w:pPr>
    </w:lvl>
    <w:lvl w:ilvl="8">
      <w:start w:val="1"/>
      <w:numFmt w:val="lowerRoman"/>
      <w:lvlText w:val="%9."/>
      <w:lvlJc w:val="right"/>
      <w:pPr>
        <w:tabs>
          <w:tab w:val="num" w:pos="6054"/>
        </w:tabs>
        <w:ind w:left="6054" w:hanging="180"/>
      </w:pPr>
    </w:lvl>
  </w:abstractNum>
  <w:abstractNum w:abstractNumId="14" w15:restartNumberingAfterBreak="0">
    <w:nsid w:val="696523DA"/>
    <w:multiLevelType w:val="hybridMultilevel"/>
    <w:tmpl w:val="1E609502"/>
    <w:lvl w:ilvl="0" w:tplc="EBFCD9BE">
      <w:start w:val="1"/>
      <w:numFmt w:val="decimal"/>
      <w:lvlText w:val="%1."/>
      <w:lvlJc w:val="left"/>
      <w:pPr>
        <w:tabs>
          <w:tab w:val="num" w:pos="360"/>
        </w:tabs>
        <w:ind w:left="360" w:hanging="360"/>
      </w:pPr>
      <w:rPr>
        <w:rFonts w:hint="default"/>
        <w:b w:val="0"/>
        <w:bCs/>
        <w:color w:val="auto"/>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51C7B4D"/>
    <w:multiLevelType w:val="hybridMultilevel"/>
    <w:tmpl w:val="3E00D7AA"/>
    <w:lvl w:ilvl="0" w:tplc="3C643056">
      <w:start w:val="1"/>
      <w:numFmt w:val="decimal"/>
      <w:lvlText w:val="%1."/>
      <w:lvlJc w:val="left"/>
      <w:pPr>
        <w:tabs>
          <w:tab w:val="num" w:pos="360"/>
        </w:tabs>
        <w:ind w:left="360" w:hanging="360"/>
      </w:pPr>
      <w:rPr>
        <w:rFonts w:hint="default"/>
        <w:color w:val="auto"/>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6B7145A"/>
    <w:multiLevelType w:val="multilevel"/>
    <w:tmpl w:val="0A188E3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781E6C16"/>
    <w:multiLevelType w:val="hybridMultilevel"/>
    <w:tmpl w:val="ADF8883E"/>
    <w:lvl w:ilvl="0" w:tplc="B050A2BC">
      <w:numFmt w:val="bullet"/>
      <w:lvlText w:val="-"/>
      <w:lvlJc w:val="left"/>
      <w:pPr>
        <w:tabs>
          <w:tab w:val="num" w:pos="786"/>
        </w:tabs>
        <w:ind w:left="786" w:hanging="360"/>
      </w:pPr>
      <w:rPr>
        <w:rFonts w:ascii="Arial" w:eastAsia="Times New Roman" w:hAnsi="Arial" w:cs="Aria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7C0E7497"/>
    <w:multiLevelType w:val="multilevel"/>
    <w:tmpl w:val="2508FBD2"/>
    <w:lvl w:ilvl="0">
      <w:start w:val="1"/>
      <w:numFmt w:val="decimal"/>
      <w:lvlText w:val="%1."/>
      <w:lvlJc w:val="left"/>
      <w:pPr>
        <w:tabs>
          <w:tab w:val="num" w:pos="0"/>
        </w:tabs>
        <w:ind w:left="227" w:hanging="227"/>
      </w:pPr>
      <w:rPr>
        <w:rFonts w:ascii="Arial" w:hAnsi="Aria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0"/>
  </w:num>
  <w:num w:numId="3">
    <w:abstractNumId w:val="11"/>
  </w:num>
  <w:num w:numId="4">
    <w:abstractNumId w:val="4"/>
  </w:num>
  <w:num w:numId="5">
    <w:abstractNumId w:val="17"/>
  </w:num>
  <w:num w:numId="6">
    <w:abstractNumId w:val="5"/>
  </w:num>
  <w:num w:numId="7">
    <w:abstractNumId w:val="10"/>
  </w:num>
  <w:num w:numId="8">
    <w:abstractNumId w:val="7"/>
  </w:num>
  <w:num w:numId="9">
    <w:abstractNumId w:val="15"/>
  </w:num>
  <w:num w:numId="10">
    <w:abstractNumId w:val="18"/>
  </w:num>
  <w:num w:numId="11">
    <w:abstractNumId w:val="1"/>
  </w:num>
  <w:num w:numId="12">
    <w:abstractNumId w:val="16"/>
  </w:num>
  <w:num w:numId="13">
    <w:abstractNumId w:val="6"/>
  </w:num>
  <w:num w:numId="14">
    <w:abstractNumId w:val="8"/>
  </w:num>
  <w:num w:numId="15">
    <w:abstractNumId w:val="9"/>
  </w:num>
  <w:num w:numId="16">
    <w:abstractNumId w:val="13"/>
  </w:num>
  <w:num w:numId="17">
    <w:abstractNumId w:val="14"/>
  </w:num>
  <w:num w:numId="18">
    <w:abstractNumId w:val="12"/>
  </w:num>
  <w:num w:numId="19">
    <w:abstractNumId w:val="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CB"/>
    <w:rsid w:val="0000241F"/>
    <w:rsid w:val="00003C41"/>
    <w:rsid w:val="00036DAB"/>
    <w:rsid w:val="00051067"/>
    <w:rsid w:val="000726A7"/>
    <w:rsid w:val="000A1CFB"/>
    <w:rsid w:val="000E5FF2"/>
    <w:rsid w:val="000F6D61"/>
    <w:rsid w:val="00105318"/>
    <w:rsid w:val="00125046"/>
    <w:rsid w:val="0013093E"/>
    <w:rsid w:val="00133F97"/>
    <w:rsid w:val="00135EBB"/>
    <w:rsid w:val="00137D12"/>
    <w:rsid w:val="00155E07"/>
    <w:rsid w:val="00170B3B"/>
    <w:rsid w:val="001B565E"/>
    <w:rsid w:val="001C0A0D"/>
    <w:rsid w:val="001C39DC"/>
    <w:rsid w:val="001E696E"/>
    <w:rsid w:val="001F4ECF"/>
    <w:rsid w:val="00210071"/>
    <w:rsid w:val="00220221"/>
    <w:rsid w:val="00264E8A"/>
    <w:rsid w:val="00270316"/>
    <w:rsid w:val="002A24E3"/>
    <w:rsid w:val="002A7ED4"/>
    <w:rsid w:val="002B72EA"/>
    <w:rsid w:val="002E5AAE"/>
    <w:rsid w:val="002F01D4"/>
    <w:rsid w:val="00333F8E"/>
    <w:rsid w:val="00354DFB"/>
    <w:rsid w:val="003619B9"/>
    <w:rsid w:val="003707CB"/>
    <w:rsid w:val="003764EC"/>
    <w:rsid w:val="003A0D29"/>
    <w:rsid w:val="003A41E8"/>
    <w:rsid w:val="003C230A"/>
    <w:rsid w:val="003E01F4"/>
    <w:rsid w:val="003E5255"/>
    <w:rsid w:val="003E56F8"/>
    <w:rsid w:val="00406B73"/>
    <w:rsid w:val="00427981"/>
    <w:rsid w:val="004307F7"/>
    <w:rsid w:val="00464192"/>
    <w:rsid w:val="00471133"/>
    <w:rsid w:val="004925F6"/>
    <w:rsid w:val="004A4EB3"/>
    <w:rsid w:val="004C1098"/>
    <w:rsid w:val="004D4762"/>
    <w:rsid w:val="00506E1C"/>
    <w:rsid w:val="00516C55"/>
    <w:rsid w:val="00531BDD"/>
    <w:rsid w:val="00531DB9"/>
    <w:rsid w:val="00543DD7"/>
    <w:rsid w:val="005729F0"/>
    <w:rsid w:val="00581951"/>
    <w:rsid w:val="00584D8C"/>
    <w:rsid w:val="00590AAF"/>
    <w:rsid w:val="005C4981"/>
    <w:rsid w:val="005D08A8"/>
    <w:rsid w:val="005F32F5"/>
    <w:rsid w:val="00610203"/>
    <w:rsid w:val="00615055"/>
    <w:rsid w:val="00622556"/>
    <w:rsid w:val="00641B9F"/>
    <w:rsid w:val="0065448E"/>
    <w:rsid w:val="00654A43"/>
    <w:rsid w:val="0068320F"/>
    <w:rsid w:val="0068737E"/>
    <w:rsid w:val="006873EA"/>
    <w:rsid w:val="00695E5E"/>
    <w:rsid w:val="006B3C6E"/>
    <w:rsid w:val="006E0902"/>
    <w:rsid w:val="006F4C07"/>
    <w:rsid w:val="007258CC"/>
    <w:rsid w:val="00735207"/>
    <w:rsid w:val="00746E06"/>
    <w:rsid w:val="007624CF"/>
    <w:rsid w:val="00772ACC"/>
    <w:rsid w:val="00780FC1"/>
    <w:rsid w:val="00790DEF"/>
    <w:rsid w:val="007955D9"/>
    <w:rsid w:val="00796F4A"/>
    <w:rsid w:val="007E39F8"/>
    <w:rsid w:val="00825CF4"/>
    <w:rsid w:val="008271C0"/>
    <w:rsid w:val="0084202F"/>
    <w:rsid w:val="00843BF6"/>
    <w:rsid w:val="0086340F"/>
    <w:rsid w:val="008C6A25"/>
    <w:rsid w:val="008E713D"/>
    <w:rsid w:val="008F4E80"/>
    <w:rsid w:val="008F6AD2"/>
    <w:rsid w:val="0090249C"/>
    <w:rsid w:val="00926718"/>
    <w:rsid w:val="00926768"/>
    <w:rsid w:val="00931D35"/>
    <w:rsid w:val="009475E9"/>
    <w:rsid w:val="009671C8"/>
    <w:rsid w:val="00982CD2"/>
    <w:rsid w:val="009B1668"/>
    <w:rsid w:val="009B73E8"/>
    <w:rsid w:val="009D4299"/>
    <w:rsid w:val="009E4CA0"/>
    <w:rsid w:val="00A162BF"/>
    <w:rsid w:val="00A17952"/>
    <w:rsid w:val="00A26ED6"/>
    <w:rsid w:val="00A33563"/>
    <w:rsid w:val="00A40387"/>
    <w:rsid w:val="00A41C49"/>
    <w:rsid w:val="00A47A17"/>
    <w:rsid w:val="00A5791B"/>
    <w:rsid w:val="00A67E14"/>
    <w:rsid w:val="00A83278"/>
    <w:rsid w:val="00A90077"/>
    <w:rsid w:val="00AB12AE"/>
    <w:rsid w:val="00AD617E"/>
    <w:rsid w:val="00AF775B"/>
    <w:rsid w:val="00B17528"/>
    <w:rsid w:val="00B21011"/>
    <w:rsid w:val="00B3069A"/>
    <w:rsid w:val="00B51F91"/>
    <w:rsid w:val="00B542CC"/>
    <w:rsid w:val="00B72EB0"/>
    <w:rsid w:val="00B76EEE"/>
    <w:rsid w:val="00B776E7"/>
    <w:rsid w:val="00B85427"/>
    <w:rsid w:val="00B86725"/>
    <w:rsid w:val="00B86E22"/>
    <w:rsid w:val="00BA7E58"/>
    <w:rsid w:val="00BD43C5"/>
    <w:rsid w:val="00C0140A"/>
    <w:rsid w:val="00C1016C"/>
    <w:rsid w:val="00C22F44"/>
    <w:rsid w:val="00C33F12"/>
    <w:rsid w:val="00C34B3F"/>
    <w:rsid w:val="00C53002"/>
    <w:rsid w:val="00C552CF"/>
    <w:rsid w:val="00C63194"/>
    <w:rsid w:val="00C63F53"/>
    <w:rsid w:val="00C82CAE"/>
    <w:rsid w:val="00C83DA3"/>
    <w:rsid w:val="00C853F6"/>
    <w:rsid w:val="00CA4295"/>
    <w:rsid w:val="00CA6A01"/>
    <w:rsid w:val="00CB7F4B"/>
    <w:rsid w:val="00CD0634"/>
    <w:rsid w:val="00CD0942"/>
    <w:rsid w:val="00CE1996"/>
    <w:rsid w:val="00D17392"/>
    <w:rsid w:val="00D50EF1"/>
    <w:rsid w:val="00D62E68"/>
    <w:rsid w:val="00DB15B1"/>
    <w:rsid w:val="00DB535A"/>
    <w:rsid w:val="00DB6134"/>
    <w:rsid w:val="00E14382"/>
    <w:rsid w:val="00E35E2A"/>
    <w:rsid w:val="00E50311"/>
    <w:rsid w:val="00E80CC7"/>
    <w:rsid w:val="00E9019A"/>
    <w:rsid w:val="00EA751E"/>
    <w:rsid w:val="00EC7FFB"/>
    <w:rsid w:val="00EE71C3"/>
    <w:rsid w:val="00F12CC5"/>
    <w:rsid w:val="00F2661D"/>
    <w:rsid w:val="00F34935"/>
    <w:rsid w:val="00F5554C"/>
    <w:rsid w:val="00F61023"/>
    <w:rsid w:val="00F63AF9"/>
    <w:rsid w:val="00F7226F"/>
    <w:rsid w:val="00F76F12"/>
    <w:rsid w:val="00F8093C"/>
    <w:rsid w:val="00F91853"/>
    <w:rsid w:val="00FA52EE"/>
    <w:rsid w:val="00FA76D3"/>
    <w:rsid w:val="00FC5365"/>
    <w:rsid w:val="00FD312F"/>
    <w:rsid w:val="00FD6C0E"/>
    <w:rsid w:val="00FE4532"/>
    <w:rsid w:val="00FE6D81"/>
    <w:rsid w:val="00FE7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8193"/>
    <o:shapelayout v:ext="edit">
      <o:idmap v:ext="edit" data="1"/>
    </o:shapelayout>
  </w:shapeDefaults>
  <w:decimalSymbol w:val="."/>
  <w:listSeparator w:val=","/>
  <w14:docId w14:val="5387C019"/>
  <w15:chartTrackingRefBased/>
  <w15:docId w15:val="{7D2C1D02-9F9A-4277-8BC5-75137804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Times New (W1)" w:hAnsi="Times New (W1)"/>
      <w:b/>
      <w:sz w:val="28"/>
      <w:szCs w:val="24"/>
    </w:rPr>
  </w:style>
  <w:style w:type="paragraph" w:styleId="Heading2">
    <w:name w:val="heading 2"/>
    <w:basedOn w:val="Normal"/>
    <w:next w:val="Normal"/>
    <w:qFormat/>
    <w:pPr>
      <w:keepNext/>
      <w:ind w:left="360"/>
      <w:outlineLvl w:val="1"/>
    </w:pPr>
    <w:rPr>
      <w:rFonts w:ascii="Arial (W1)" w:hAnsi="Arial (W1)"/>
      <w:b/>
      <w:sz w:val="28"/>
      <w:szCs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rFonts w:ascii="CG Times" w:hAnsi="CG Times"/>
      <w:i/>
      <w:sz w:val="24"/>
    </w:rPr>
  </w:style>
  <w:style w:type="paragraph" w:styleId="Heading5">
    <w:name w:val="heading 5"/>
    <w:basedOn w:val="Normal"/>
    <w:next w:val="Normal"/>
    <w:qFormat/>
    <w:pPr>
      <w:keepNext/>
      <w:outlineLvl w:val="4"/>
    </w:pPr>
    <w:rPr>
      <w:sz w:val="24"/>
      <w:u w:val="single"/>
    </w:rPr>
  </w:style>
  <w:style w:type="paragraph" w:styleId="Heading6">
    <w:name w:val="heading 6"/>
    <w:basedOn w:val="Normal"/>
    <w:next w:val="Normal"/>
    <w:qFormat/>
    <w:pPr>
      <w:keepNext/>
      <w:ind w:left="1440"/>
      <w:outlineLvl w:val="5"/>
    </w:pPr>
    <w:rPr>
      <w:sz w:val="24"/>
      <w:u w:val="single"/>
    </w:rPr>
  </w:style>
  <w:style w:type="paragraph" w:styleId="Heading7">
    <w:name w:val="heading 7"/>
    <w:basedOn w:val="Normal"/>
    <w:next w:val="Normal"/>
    <w:qFormat/>
    <w:pPr>
      <w:keepNext/>
      <w:outlineLvl w:val="6"/>
    </w:pPr>
    <w:rPr>
      <w:b/>
      <w:sz w:val="24"/>
      <w:u w:val="single"/>
    </w:rPr>
  </w:style>
  <w:style w:type="paragraph" w:styleId="Heading8">
    <w:name w:val="heading 8"/>
    <w:basedOn w:val="Normal"/>
    <w:next w:val="Normal"/>
    <w:qFormat/>
    <w:pPr>
      <w:keepNext/>
      <w:ind w:left="1440"/>
      <w:outlineLvl w:val="7"/>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subsecthead">
    <w:name w:val="TOC Subsubsect head"/>
    <w:pPr>
      <w:tabs>
        <w:tab w:val="right" w:leader="dot" w:pos="7370"/>
      </w:tabs>
      <w:spacing w:before="113"/>
      <w:ind w:left="850"/>
    </w:pPr>
    <w:rPr>
      <w:rFonts w:ascii="Arial" w:hAnsi="Arial"/>
      <w:snapToGrid w:val="0"/>
      <w:sz w:val="22"/>
      <w:lang w:eastAsia="en-US"/>
    </w:rPr>
  </w:style>
  <w:style w:type="paragraph" w:customStyle="1" w:styleId="Sub10">
    <w:name w:val="Sub 1"/>
    <w:basedOn w:val="Norm"/>
    <w:pPr>
      <w:spacing w:before="113"/>
      <w:ind w:left="1134" w:hanging="283"/>
    </w:pPr>
  </w:style>
  <w:style w:type="paragraph" w:customStyle="1" w:styleId="Norm">
    <w:name w:val="Norm"/>
    <w:rsid w:val="002A24E3"/>
    <w:pPr>
      <w:tabs>
        <w:tab w:val="left" w:pos="850"/>
      </w:tabs>
      <w:spacing w:before="227" w:line="280" w:lineRule="atLeast"/>
      <w:ind w:left="850" w:hanging="850"/>
    </w:pPr>
    <w:rPr>
      <w:rFonts w:ascii="Arial" w:hAnsi="Arial"/>
      <w:snapToGrid w:val="0"/>
      <w:sz w:val="24"/>
      <w:lang w:val="en-US" w:eastAsia="en-US"/>
    </w:rPr>
  </w:style>
  <w:style w:type="paragraph" w:customStyle="1" w:styleId="subsecthead">
    <w:name w:val="subsect head"/>
    <w:basedOn w:val="Sectionhead"/>
    <w:next w:val="Norm"/>
    <w:pPr>
      <w:tabs>
        <w:tab w:val="clear" w:pos="850"/>
      </w:tabs>
      <w:spacing w:after="57" w:line="240" w:lineRule="auto"/>
    </w:pPr>
    <w:rPr>
      <w:sz w:val="28"/>
      <w:lang w:val="en-GB"/>
    </w:rPr>
  </w:style>
  <w:style w:type="paragraph" w:customStyle="1" w:styleId="Sectionhead">
    <w:name w:val="Section head"/>
    <w:pPr>
      <w:tabs>
        <w:tab w:val="left" w:pos="850"/>
      </w:tabs>
      <w:spacing w:before="283" w:after="170" w:line="360" w:lineRule="atLeast"/>
    </w:pPr>
    <w:rPr>
      <w:rFonts w:ascii="Arial" w:hAnsi="Arial"/>
      <w:b/>
      <w:snapToGrid w:val="0"/>
      <w:sz w:val="32"/>
      <w:lang w:val="en-US" w:eastAsia="en-US"/>
    </w:rPr>
  </w:style>
  <w:style w:type="paragraph" w:customStyle="1" w:styleId="TOCSubsecthead">
    <w:name w:val="TOC Subsect head"/>
    <w:basedOn w:val="TOCSectionhead"/>
    <w:rsid w:val="002A24E3"/>
    <w:pPr>
      <w:tabs>
        <w:tab w:val="right" w:leader="dot" w:pos="7370"/>
      </w:tabs>
      <w:spacing w:before="113"/>
      <w:ind w:left="567"/>
    </w:pPr>
    <w:rPr>
      <w:b w:val="0"/>
      <w:color w:val="auto"/>
    </w:rPr>
  </w:style>
  <w:style w:type="paragraph" w:customStyle="1" w:styleId="TOCSectionhead">
    <w:name w:val="TOC Section head"/>
    <w:rsid w:val="002A24E3"/>
    <w:pPr>
      <w:tabs>
        <w:tab w:val="right" w:pos="7370"/>
      </w:tabs>
      <w:spacing w:before="283" w:line="280" w:lineRule="atLeast"/>
    </w:pPr>
    <w:rPr>
      <w:rFonts w:ascii="Arial" w:hAnsi="Arial"/>
      <w:b/>
      <w:snapToGrid w:val="0"/>
      <w:color w:val="000000"/>
      <w:sz w:val="24"/>
      <w:lang w:eastAsia="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ubsubsecthead">
    <w:name w:val="subsubsect head"/>
    <w:basedOn w:val="subsecthead"/>
    <w:rPr>
      <w:sz w:val="24"/>
    </w:rPr>
  </w:style>
  <w:style w:type="paragraph" w:customStyle="1" w:styleId="Sub2">
    <w:name w:val="Sub 2"/>
    <w:basedOn w:val="Norm"/>
    <w:pPr>
      <w:tabs>
        <w:tab w:val="clear" w:pos="850"/>
        <w:tab w:val="left" w:pos="1417"/>
        <w:tab w:val="left" w:pos="2835"/>
      </w:tabs>
      <w:spacing w:before="113"/>
      <w:ind w:left="1417" w:hanging="283"/>
    </w:pPr>
  </w:style>
  <w:style w:type="paragraph" w:customStyle="1" w:styleId="subsubsubsecthead">
    <w:name w:val="subsubsubsect head"/>
    <w:basedOn w:val="subsubsecthead"/>
    <w:next w:val="Norm"/>
    <w:pPr>
      <w:spacing w:line="240" w:lineRule="atLeast"/>
    </w:pPr>
    <w:rPr>
      <w:sz w:val="22"/>
    </w:rPr>
  </w:style>
  <w:style w:type="paragraph" w:customStyle="1" w:styleId="Examplerow">
    <w:name w:val="Example row"/>
    <w:basedOn w:val="Norm"/>
    <w:pPr>
      <w:tabs>
        <w:tab w:val="clear" w:pos="850"/>
      </w:tabs>
      <w:spacing w:before="170"/>
      <w:ind w:left="1134" w:right="283" w:firstLine="0"/>
    </w:pPr>
  </w:style>
  <w:style w:type="paragraph" w:customStyle="1" w:styleId="Descriptor">
    <w:name w:val="Descriptor"/>
    <w:basedOn w:val="Normal"/>
    <w:autoRedefine/>
    <w:rPr>
      <w:b/>
      <w:caps/>
      <w:kern w:val="28"/>
      <w:sz w:val="24"/>
    </w:rPr>
  </w:style>
  <w:style w:type="paragraph" w:customStyle="1" w:styleId="InsideAddressName">
    <w:name w:val="Inside Address Name"/>
    <w:basedOn w:val="Normal"/>
    <w:next w:val="Normal"/>
    <w:pPr>
      <w:spacing w:before="220"/>
      <w:ind w:left="835" w:right="-360"/>
    </w:pPr>
  </w:style>
  <w:style w:type="paragraph" w:styleId="BodyTextIndent">
    <w:name w:val="Body Text Indent"/>
    <w:basedOn w:val="Normal"/>
    <w:pPr>
      <w:ind w:left="720" w:hanging="720"/>
    </w:pPr>
  </w:style>
  <w:style w:type="paragraph" w:styleId="BodyTextIndent2">
    <w:name w:val="Body Text Indent 2"/>
    <w:basedOn w:val="Normal"/>
    <w:pPr>
      <w:ind w:left="720"/>
    </w:pPr>
    <w:rPr>
      <w:sz w:val="24"/>
    </w:rPr>
  </w:style>
  <w:style w:type="paragraph" w:styleId="BodyTextIndent3">
    <w:name w:val="Body Text Indent 3"/>
    <w:basedOn w:val="Normal"/>
    <w:pPr>
      <w:ind w:left="1440"/>
    </w:pPr>
    <w:rPr>
      <w:sz w:val="24"/>
    </w:rPr>
  </w:style>
  <w:style w:type="paragraph" w:styleId="BodyText">
    <w:name w:val="Body Text"/>
    <w:basedOn w:val="Normal"/>
    <w:pPr>
      <w:tabs>
        <w:tab w:val="left" w:pos="5670"/>
      </w:tabs>
    </w:pPr>
    <w:rPr>
      <w:sz w:val="24"/>
    </w:rPr>
  </w:style>
  <w:style w:type="character" w:styleId="Hyperlink">
    <w:name w:val="Hyperlink"/>
    <w:rPr>
      <w:color w:val="0000FF"/>
      <w:u w:val="single"/>
    </w:rPr>
  </w:style>
  <w:style w:type="paragraph" w:customStyle="1" w:styleId="Bulletlist">
    <w:name w:val="Bullet list"/>
    <w:basedOn w:val="Normal"/>
    <w:pPr>
      <w:numPr>
        <w:numId w:val="1"/>
      </w:numPr>
      <w:spacing w:before="120" w:after="120" w:line="280" w:lineRule="atLeast"/>
      <w:ind w:left="357" w:hanging="357"/>
    </w:pPr>
    <w:rPr>
      <w:rFonts w:ascii="Arial" w:hAnsi="Arial"/>
      <w:sz w:val="22"/>
    </w:rPr>
  </w:style>
  <w:style w:type="character" w:styleId="FollowedHyperlink">
    <w:name w:val="FollowedHyperlink"/>
    <w:rPr>
      <w:color w:val="800080"/>
      <w:u w:val="single"/>
    </w:rPr>
  </w:style>
  <w:style w:type="paragraph" w:customStyle="1" w:styleId="sub1">
    <w:name w:val="sub 1"/>
    <w:basedOn w:val="Norm"/>
    <w:pPr>
      <w:numPr>
        <w:numId w:val="2"/>
      </w:numPr>
      <w:tabs>
        <w:tab w:val="clear" w:pos="850"/>
        <w:tab w:val="left" w:pos="1134"/>
      </w:tabs>
      <w:spacing w:before="102" w:line="260" w:lineRule="atLeast"/>
      <w:ind w:left="1134" w:hanging="283"/>
    </w:pPr>
  </w:style>
  <w:style w:type="paragraph" w:styleId="BodyText2">
    <w:name w:val="Body Text 2"/>
    <w:basedOn w:val="Normal"/>
    <w:pPr>
      <w:suppressAutoHyphens/>
      <w:jc w:val="both"/>
    </w:pPr>
    <w:rPr>
      <w:rFonts w:ascii="Arial" w:hAnsi="Arial"/>
      <w:spacing w:val="-3"/>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Paragraph">
    <w:name w:val="Paragraph"/>
    <w:basedOn w:val="Normal"/>
    <w:autoRedefine/>
    <w:pPr>
      <w:jc w:val="center"/>
    </w:pPr>
    <w:rPr>
      <w:rFonts w:ascii="CG Times" w:hAnsi="CG Times"/>
      <w:b/>
      <w:caps/>
      <w:sz w:val="24"/>
    </w:rPr>
  </w:style>
  <w:style w:type="paragraph" w:customStyle="1" w:styleId="ReportBody4">
    <w:name w:val="Report Body 4"/>
    <w:pPr>
      <w:numPr>
        <w:numId w:val="3"/>
      </w:numPr>
      <w:tabs>
        <w:tab w:val="left" w:pos="425"/>
        <w:tab w:val="left" w:pos="539"/>
        <w:tab w:val="left" w:pos="652"/>
        <w:tab w:val="left" w:pos="765"/>
      </w:tabs>
      <w:suppressAutoHyphens/>
      <w:spacing w:after="120" w:line="290" w:lineRule="exact"/>
    </w:pPr>
    <w:rPr>
      <w:rFonts w:ascii="CG Omega" w:hAnsi="CG Omega"/>
      <w:color w:val="000000"/>
      <w:kern w:val="16"/>
      <w:sz w:val="21"/>
      <w:lang w:eastAsia="en-US"/>
    </w:rPr>
  </w:style>
  <w:style w:type="paragraph" w:customStyle="1" w:styleId="Bullet1">
    <w:name w:val="Bullet 1"/>
    <w:pPr>
      <w:numPr>
        <w:numId w:val="4"/>
      </w:numPr>
      <w:suppressAutoHyphens/>
      <w:spacing w:after="120" w:line="280" w:lineRule="exact"/>
    </w:pPr>
    <w:rPr>
      <w:rFonts w:ascii="CG Omega" w:hAnsi="CG Omega"/>
      <w:color w:val="000000"/>
      <w:kern w:val="16"/>
      <w:sz w:val="21"/>
      <w:lang w:eastAsia="en-US"/>
    </w:rPr>
  </w:style>
  <w:style w:type="paragraph" w:customStyle="1" w:styleId="StyleTOCSectionheadNotBoldAuto">
    <w:name w:val="Style TOC Section head + Not Bold Auto"/>
    <w:basedOn w:val="TOCSectionhead"/>
    <w:rsid w:val="002A24E3"/>
    <w:rPr>
      <w:b w:val="0"/>
      <w:color w:val="auto"/>
    </w:rPr>
  </w:style>
  <w:style w:type="paragraph" w:customStyle="1" w:styleId="frontsub1">
    <w:name w:val="frontsub1"/>
    <w:basedOn w:val="sub1"/>
    <w:pPr>
      <w:tabs>
        <w:tab w:val="clear" w:pos="1134"/>
        <w:tab w:val="left" w:pos="1560"/>
      </w:tabs>
      <w:ind w:left="426" w:hanging="426"/>
    </w:pPr>
    <w:rPr>
      <w:b/>
      <w:bCs/>
      <w:lang w:val="en-GB"/>
    </w:rPr>
  </w:style>
  <w:style w:type="table" w:styleId="TableGrid">
    <w:name w:val="Table Grid"/>
    <w:basedOn w:val="TableNormal"/>
    <w:rsid w:val="00B51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3A41E8"/>
    <w:pPr>
      <w:spacing w:after="160" w:line="240" w:lineRule="exact"/>
    </w:pPr>
    <w:rPr>
      <w:rFonts w:ascii="Tahoma" w:hAnsi="Tahoma"/>
      <w:lang w:eastAsia="en-GB"/>
    </w:rPr>
  </w:style>
  <w:style w:type="paragraph" w:styleId="ListParagraph">
    <w:name w:val="List Paragraph"/>
    <w:basedOn w:val="Normal"/>
    <w:uiPriority w:val="34"/>
    <w:qFormat/>
    <w:rsid w:val="00615055"/>
    <w:pPr>
      <w:ind w:left="720"/>
      <w:contextualSpacing/>
    </w:pPr>
  </w:style>
  <w:style w:type="paragraph" w:styleId="BalloonText">
    <w:name w:val="Balloon Text"/>
    <w:basedOn w:val="Normal"/>
    <w:link w:val="BalloonTextChar"/>
    <w:uiPriority w:val="99"/>
    <w:semiHidden/>
    <w:unhideWhenUsed/>
    <w:rsid w:val="003C2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30A"/>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B542CC"/>
    <w:rPr>
      <w:sz w:val="16"/>
      <w:szCs w:val="16"/>
    </w:rPr>
  </w:style>
  <w:style w:type="paragraph" w:styleId="CommentText">
    <w:name w:val="annotation text"/>
    <w:basedOn w:val="Normal"/>
    <w:link w:val="CommentTextChar"/>
    <w:uiPriority w:val="99"/>
    <w:semiHidden/>
    <w:unhideWhenUsed/>
    <w:rsid w:val="00B542CC"/>
  </w:style>
  <w:style w:type="character" w:customStyle="1" w:styleId="CommentTextChar">
    <w:name w:val="Comment Text Char"/>
    <w:basedOn w:val="DefaultParagraphFont"/>
    <w:link w:val="CommentText"/>
    <w:uiPriority w:val="99"/>
    <w:semiHidden/>
    <w:rsid w:val="00B542CC"/>
    <w:rPr>
      <w:lang w:eastAsia="en-US"/>
    </w:rPr>
  </w:style>
  <w:style w:type="paragraph" w:styleId="CommentSubject">
    <w:name w:val="annotation subject"/>
    <w:basedOn w:val="CommentText"/>
    <w:next w:val="CommentText"/>
    <w:link w:val="CommentSubjectChar"/>
    <w:uiPriority w:val="99"/>
    <w:semiHidden/>
    <w:unhideWhenUsed/>
    <w:rsid w:val="00B542CC"/>
    <w:rPr>
      <w:b/>
      <w:bCs/>
    </w:rPr>
  </w:style>
  <w:style w:type="character" w:customStyle="1" w:styleId="CommentSubjectChar">
    <w:name w:val="Comment Subject Char"/>
    <w:basedOn w:val="CommentTextChar"/>
    <w:link w:val="CommentSubject"/>
    <w:uiPriority w:val="99"/>
    <w:semiHidden/>
    <w:rsid w:val="00B542CC"/>
    <w:rPr>
      <w:b/>
      <w:bCs/>
      <w:lang w:eastAsia="en-US"/>
    </w:rPr>
  </w:style>
  <w:style w:type="paragraph" w:styleId="Revision">
    <w:name w:val="Revision"/>
    <w:hidden/>
    <w:uiPriority w:val="99"/>
    <w:semiHidden/>
    <w:rsid w:val="00CE199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40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accessto.benefitpolicyteam@dwp.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government/collections/housing-benefit-for-local-authorities-circulars"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ousing.correspondenceandpqs@dwp.gsi.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1D17369E</Template>
  <TotalTime>0</TotalTime>
  <Pages>4</Pages>
  <Words>997</Words>
  <Characters>5353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Housing Benefit and Council Tax Benefit Circular</vt:lpstr>
    </vt:vector>
  </TitlesOfParts>
  <Company>Corporate Document Services</Company>
  <LinksUpToDate>false</LinksUpToDate>
  <CharactersWithSpaces>6338</CharactersWithSpaces>
  <SharedDoc>false</SharedDoc>
  <HLinks>
    <vt:vector size="18" baseType="variant">
      <vt:variant>
        <vt:i4>458859</vt:i4>
      </vt:variant>
      <vt:variant>
        <vt:i4>6</vt:i4>
      </vt:variant>
      <vt:variant>
        <vt:i4>0</vt:i4>
      </vt:variant>
      <vt:variant>
        <vt:i4>5</vt:i4>
      </vt:variant>
      <vt:variant>
        <vt:lpwstr>mailto:housing.correspondenceandpqs@dwp.gsi.gov.uk</vt:lpwstr>
      </vt:variant>
      <vt:variant>
        <vt:lpwstr/>
      </vt:variant>
      <vt:variant>
        <vt:i4>262181</vt:i4>
      </vt:variant>
      <vt:variant>
        <vt:i4>3</vt:i4>
      </vt:variant>
      <vt:variant>
        <vt:i4>0</vt:i4>
      </vt:variant>
      <vt:variant>
        <vt:i4>5</vt:i4>
      </vt:variant>
      <vt:variant>
        <vt:lpwstr>mailto:internationalaccessto.benefitpolicyteam@dwp.gov.uk</vt:lpwstr>
      </vt:variant>
      <vt:variant>
        <vt:lpwstr/>
      </vt:variant>
      <vt:variant>
        <vt:i4>5767178</vt:i4>
      </vt:variant>
      <vt:variant>
        <vt:i4>0</vt:i4>
      </vt:variant>
      <vt:variant>
        <vt:i4>0</vt:i4>
      </vt:variant>
      <vt:variant>
        <vt:i4>5</vt:i4>
      </vt:variant>
      <vt:variant>
        <vt:lpwstr>https://www.gov.uk/government/collections/housing-benefit-for-local-authorities-circulars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Benefit and Council Tax Benefit Circular</dc:title>
  <dc:subject/>
  <dc:creator>Smith Edward STRATEGY INTERNATIONAL</dc:creator>
  <cp:keywords/>
  <cp:lastModifiedBy>Joass Marion DWP DWP HOUSING DELIVERY</cp:lastModifiedBy>
  <cp:revision>2</cp:revision>
  <cp:lastPrinted>2019-04-29T12:59:00Z</cp:lastPrinted>
  <dcterms:created xsi:type="dcterms:W3CDTF">2019-05-07T14:55:00Z</dcterms:created>
  <dcterms:modified xsi:type="dcterms:W3CDTF">2019-05-07T14:55:00Z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