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97" w:rsidRDefault="009A6497" w:rsidP="000A6B29">
      <w:pPr>
        <w:jc w:val="center"/>
        <w:rPr>
          <w:sz w:val="28"/>
          <w:szCs w:val="28"/>
        </w:rPr>
      </w:pPr>
    </w:p>
    <w:p w:rsidR="0020000F" w:rsidRDefault="0020000F" w:rsidP="000A6B29">
      <w:pPr>
        <w:jc w:val="center"/>
        <w:rPr>
          <w:sz w:val="28"/>
          <w:szCs w:val="28"/>
        </w:rPr>
      </w:pPr>
    </w:p>
    <w:p w:rsidR="000A6B29" w:rsidRDefault="000A6B29" w:rsidP="000A6B29">
      <w:pPr>
        <w:jc w:val="center"/>
        <w:rPr>
          <w:sz w:val="28"/>
          <w:szCs w:val="28"/>
        </w:rPr>
      </w:pPr>
    </w:p>
    <w:p w:rsidR="000A6B29" w:rsidRDefault="009A6497" w:rsidP="000A6B29">
      <w:pPr>
        <w:pBdr>
          <w:top w:val="single" w:sz="6" w:space="1" w:color="auto"/>
          <w:bottom w:val="single" w:sz="6" w:space="1" w:color="auto"/>
        </w:pBdr>
        <w:jc w:val="center"/>
        <w:rPr>
          <w:sz w:val="28"/>
          <w:szCs w:val="28"/>
        </w:rPr>
      </w:pPr>
      <w:r>
        <w:rPr>
          <w:sz w:val="28"/>
          <w:szCs w:val="28"/>
        </w:rPr>
        <w:t>Submission of the Appellant</w:t>
      </w:r>
      <w:r w:rsidR="00CB2ED1">
        <w:rPr>
          <w:sz w:val="28"/>
          <w:szCs w:val="28"/>
        </w:rPr>
        <w:t xml:space="preserve"> on Effect of </w:t>
      </w:r>
      <w:proofErr w:type="spellStart"/>
      <w:r w:rsidR="00CB2ED1">
        <w:rPr>
          <w:sz w:val="28"/>
          <w:szCs w:val="28"/>
        </w:rPr>
        <w:t>Reg</w:t>
      </w:r>
      <w:proofErr w:type="spellEnd"/>
      <w:r w:rsidR="00CB2ED1">
        <w:rPr>
          <w:sz w:val="28"/>
          <w:szCs w:val="28"/>
        </w:rPr>
        <w:t xml:space="preserve"> 8(1) UC (TP) </w:t>
      </w:r>
      <w:proofErr w:type="spellStart"/>
      <w:r w:rsidR="00CB2ED1">
        <w:rPr>
          <w:sz w:val="28"/>
          <w:szCs w:val="28"/>
        </w:rPr>
        <w:t>Regs</w:t>
      </w:r>
      <w:proofErr w:type="spellEnd"/>
    </w:p>
    <w:p w:rsidR="009A6497" w:rsidRDefault="009A6497" w:rsidP="000A6B29">
      <w:pPr>
        <w:jc w:val="center"/>
        <w:rPr>
          <w:sz w:val="28"/>
          <w:szCs w:val="28"/>
        </w:rPr>
      </w:pPr>
    </w:p>
    <w:p w:rsidR="009A6497" w:rsidRDefault="009A6497" w:rsidP="000A6B29">
      <w:pPr>
        <w:jc w:val="center"/>
        <w:rPr>
          <w:sz w:val="28"/>
          <w:szCs w:val="28"/>
        </w:rPr>
      </w:pPr>
    </w:p>
    <w:p w:rsidR="000A6B29" w:rsidRDefault="000A6B29" w:rsidP="000A6B29">
      <w:pPr>
        <w:pStyle w:val="ListParagraph"/>
        <w:numPr>
          <w:ilvl w:val="0"/>
          <w:numId w:val="1"/>
        </w:numPr>
        <w:rPr>
          <w:sz w:val="28"/>
          <w:szCs w:val="28"/>
        </w:rPr>
      </w:pPr>
      <w:r>
        <w:rPr>
          <w:sz w:val="28"/>
          <w:szCs w:val="28"/>
        </w:rPr>
        <w:t xml:space="preserve">The Appellant is appealing against the decision of </w:t>
      </w:r>
      <w:r w:rsidR="00CB2ED1">
        <w:rPr>
          <w:sz w:val="28"/>
          <w:szCs w:val="28"/>
        </w:rPr>
        <w:t>………..</w:t>
      </w:r>
      <w:r>
        <w:rPr>
          <w:sz w:val="28"/>
          <w:szCs w:val="28"/>
        </w:rPr>
        <w:t>.</w:t>
      </w:r>
    </w:p>
    <w:p w:rsidR="000A6B29" w:rsidRDefault="000A6B29" w:rsidP="000A6B29">
      <w:pPr>
        <w:pStyle w:val="ListParagraph"/>
        <w:rPr>
          <w:sz w:val="28"/>
          <w:szCs w:val="28"/>
        </w:rPr>
      </w:pPr>
    </w:p>
    <w:p w:rsidR="000A6B29" w:rsidRDefault="000A6B29" w:rsidP="00A8211A">
      <w:pPr>
        <w:pStyle w:val="ListParagraph"/>
        <w:numPr>
          <w:ilvl w:val="0"/>
          <w:numId w:val="1"/>
        </w:numPr>
        <w:rPr>
          <w:sz w:val="28"/>
          <w:szCs w:val="28"/>
        </w:rPr>
      </w:pPr>
      <w:r w:rsidRPr="009A6497">
        <w:rPr>
          <w:sz w:val="28"/>
          <w:szCs w:val="28"/>
        </w:rPr>
        <w:t>The claim was terminated under regulation 8 of the Universal Credit (Transition Provisions) Regulations 2014</w:t>
      </w:r>
      <w:r w:rsidR="003543A6">
        <w:rPr>
          <w:sz w:val="28"/>
          <w:szCs w:val="28"/>
        </w:rPr>
        <w:t>, SI 2014/1230,</w:t>
      </w:r>
      <w:r w:rsidR="009A6497">
        <w:rPr>
          <w:sz w:val="28"/>
          <w:szCs w:val="28"/>
        </w:rPr>
        <w:t xml:space="preserve"> (</w:t>
      </w:r>
      <w:r w:rsidR="00CB2ED1">
        <w:rPr>
          <w:sz w:val="28"/>
          <w:szCs w:val="28"/>
        </w:rPr>
        <w:t>see …………….)</w:t>
      </w:r>
    </w:p>
    <w:p w:rsidR="009A6497" w:rsidRPr="009A6497" w:rsidRDefault="009A6497" w:rsidP="009A6497">
      <w:pPr>
        <w:pStyle w:val="ListParagraph"/>
        <w:rPr>
          <w:sz w:val="28"/>
          <w:szCs w:val="28"/>
        </w:rPr>
      </w:pPr>
    </w:p>
    <w:p w:rsidR="00B2686E" w:rsidRDefault="00B2686E" w:rsidP="000A6B29">
      <w:pPr>
        <w:pStyle w:val="ListParagraph"/>
        <w:numPr>
          <w:ilvl w:val="0"/>
          <w:numId w:val="1"/>
        </w:numPr>
        <w:rPr>
          <w:sz w:val="28"/>
          <w:szCs w:val="28"/>
        </w:rPr>
      </w:pPr>
      <w:bookmarkStart w:id="0" w:name="_Hlk436053"/>
      <w:r>
        <w:rPr>
          <w:sz w:val="28"/>
          <w:szCs w:val="28"/>
        </w:rPr>
        <w:t>Regulation 8</w:t>
      </w:r>
      <w:r w:rsidR="0020000F">
        <w:rPr>
          <w:sz w:val="28"/>
          <w:szCs w:val="28"/>
        </w:rPr>
        <w:t>(1)</w:t>
      </w:r>
      <w:r>
        <w:rPr>
          <w:sz w:val="28"/>
          <w:szCs w:val="28"/>
        </w:rPr>
        <w:t xml:space="preserve"> UC (TP) 2014 </w:t>
      </w:r>
      <w:bookmarkEnd w:id="0"/>
      <w:r w:rsidR="0020000F">
        <w:rPr>
          <w:sz w:val="28"/>
          <w:szCs w:val="28"/>
        </w:rPr>
        <w:t>provides:-</w:t>
      </w:r>
    </w:p>
    <w:p w:rsidR="0020000F" w:rsidRPr="0020000F" w:rsidRDefault="0020000F" w:rsidP="0020000F">
      <w:pPr>
        <w:pStyle w:val="ListParagraph"/>
        <w:rPr>
          <w:sz w:val="28"/>
          <w:szCs w:val="28"/>
        </w:rPr>
      </w:pPr>
    </w:p>
    <w:p w:rsidR="0020000F" w:rsidRPr="0020000F" w:rsidRDefault="0020000F" w:rsidP="0020000F">
      <w:pPr>
        <w:pStyle w:val="ListParagraph"/>
        <w:rPr>
          <w:i/>
          <w:sz w:val="28"/>
          <w:szCs w:val="28"/>
        </w:rPr>
      </w:pPr>
      <w:r w:rsidRPr="0020000F">
        <w:rPr>
          <w:i/>
          <w:sz w:val="28"/>
          <w:szCs w:val="28"/>
        </w:rPr>
        <w:t>Termination of awards of certain existing benefits: other claimants</w:t>
      </w:r>
    </w:p>
    <w:p w:rsidR="0020000F" w:rsidRPr="0020000F" w:rsidRDefault="0020000F" w:rsidP="0020000F">
      <w:pPr>
        <w:pStyle w:val="ListParagraph"/>
        <w:rPr>
          <w:i/>
          <w:sz w:val="28"/>
          <w:szCs w:val="28"/>
        </w:rPr>
      </w:pPr>
    </w:p>
    <w:p w:rsidR="0020000F" w:rsidRDefault="0020000F" w:rsidP="0020000F">
      <w:pPr>
        <w:pStyle w:val="ListParagraph"/>
        <w:rPr>
          <w:i/>
          <w:sz w:val="28"/>
          <w:szCs w:val="28"/>
        </w:rPr>
      </w:pPr>
      <w:r w:rsidRPr="0020000F">
        <w:rPr>
          <w:i/>
          <w:sz w:val="28"/>
          <w:szCs w:val="28"/>
        </w:rPr>
        <w:t xml:space="preserve">8.(1) This regulation applies where— </w:t>
      </w:r>
    </w:p>
    <w:p w:rsidR="00FC1301" w:rsidRPr="0020000F" w:rsidRDefault="00FC1301" w:rsidP="0020000F">
      <w:pPr>
        <w:pStyle w:val="ListParagraph"/>
        <w:rPr>
          <w:i/>
          <w:sz w:val="28"/>
          <w:szCs w:val="28"/>
        </w:rPr>
      </w:pPr>
    </w:p>
    <w:p w:rsidR="0020000F" w:rsidRPr="0020000F" w:rsidRDefault="0020000F" w:rsidP="0020000F">
      <w:pPr>
        <w:pStyle w:val="ListParagraph"/>
        <w:rPr>
          <w:i/>
          <w:sz w:val="28"/>
          <w:szCs w:val="28"/>
        </w:rPr>
      </w:pPr>
      <w:r w:rsidRPr="0020000F">
        <w:rPr>
          <w:i/>
          <w:sz w:val="28"/>
          <w:szCs w:val="28"/>
        </w:rPr>
        <w:t>(a)a claim for universal credit (other than a claim which is treated, in accordance with regulation 9(8) of the Claims and Payments Regulations, as having been made) is made; and</w:t>
      </w:r>
    </w:p>
    <w:p w:rsidR="0020000F" w:rsidRPr="0020000F" w:rsidRDefault="0020000F" w:rsidP="0020000F">
      <w:pPr>
        <w:pStyle w:val="ListParagraph"/>
        <w:rPr>
          <w:i/>
          <w:sz w:val="28"/>
          <w:szCs w:val="28"/>
        </w:rPr>
      </w:pPr>
      <w:r w:rsidRPr="0020000F">
        <w:rPr>
          <w:i/>
          <w:sz w:val="28"/>
          <w:szCs w:val="28"/>
        </w:rPr>
        <w:t>(b)the Secretary of State is satisfied that the claimant meets the basic conditions specified in section 4(1)(a) to (d) of the Act (other than any of those conditions which the claimant is not required to meet by virtue of regulations under section 4(2) of the Act).</w:t>
      </w:r>
    </w:p>
    <w:p w:rsidR="0020000F" w:rsidRPr="0020000F" w:rsidRDefault="0020000F" w:rsidP="0020000F">
      <w:pPr>
        <w:rPr>
          <w:i/>
          <w:sz w:val="28"/>
          <w:szCs w:val="28"/>
        </w:rPr>
      </w:pPr>
    </w:p>
    <w:p w:rsidR="00584C12" w:rsidRDefault="00584C12" w:rsidP="00584C12">
      <w:pPr>
        <w:rPr>
          <w:sz w:val="28"/>
          <w:szCs w:val="28"/>
        </w:rPr>
      </w:pPr>
    </w:p>
    <w:p w:rsidR="00584C12" w:rsidRDefault="00584C12" w:rsidP="00584C12">
      <w:pPr>
        <w:pStyle w:val="ListParagraph"/>
        <w:numPr>
          <w:ilvl w:val="0"/>
          <w:numId w:val="1"/>
        </w:numPr>
        <w:rPr>
          <w:sz w:val="28"/>
          <w:szCs w:val="28"/>
        </w:rPr>
      </w:pPr>
      <w:r>
        <w:rPr>
          <w:sz w:val="28"/>
          <w:szCs w:val="28"/>
        </w:rPr>
        <w:t>Section 4(1) of the Welfare Reform Act 2012 provides:-</w:t>
      </w:r>
    </w:p>
    <w:p w:rsidR="00584C12" w:rsidRDefault="00584C12" w:rsidP="00584C12">
      <w:pPr>
        <w:pStyle w:val="ListParagraph"/>
        <w:rPr>
          <w:sz w:val="28"/>
          <w:szCs w:val="28"/>
        </w:rPr>
      </w:pPr>
    </w:p>
    <w:p w:rsidR="00584C12" w:rsidRDefault="00584C12" w:rsidP="00FC1301">
      <w:pPr>
        <w:pStyle w:val="ListParagraph"/>
        <w:rPr>
          <w:i/>
          <w:sz w:val="28"/>
          <w:szCs w:val="28"/>
        </w:rPr>
      </w:pPr>
      <w:r w:rsidRPr="00FC1301">
        <w:rPr>
          <w:i/>
          <w:sz w:val="28"/>
          <w:szCs w:val="28"/>
        </w:rPr>
        <w:t>4 Basic conditions</w:t>
      </w:r>
    </w:p>
    <w:p w:rsidR="003543A6" w:rsidRPr="00FC1301" w:rsidRDefault="003543A6" w:rsidP="00FC1301">
      <w:pPr>
        <w:pStyle w:val="ListParagraph"/>
        <w:rPr>
          <w:i/>
          <w:sz w:val="28"/>
          <w:szCs w:val="28"/>
        </w:rPr>
      </w:pPr>
    </w:p>
    <w:p w:rsidR="00584C12" w:rsidRPr="00FC1301" w:rsidRDefault="003543A6" w:rsidP="00FC1301">
      <w:pPr>
        <w:pStyle w:val="ListParagraph"/>
        <w:rPr>
          <w:i/>
          <w:sz w:val="28"/>
          <w:szCs w:val="28"/>
        </w:rPr>
      </w:pPr>
      <w:r w:rsidRPr="00FC1301">
        <w:rPr>
          <w:i/>
          <w:sz w:val="28"/>
          <w:szCs w:val="28"/>
        </w:rPr>
        <w:t xml:space="preserve"> </w:t>
      </w:r>
      <w:r w:rsidR="00584C12" w:rsidRPr="00FC1301">
        <w:rPr>
          <w:i/>
          <w:sz w:val="28"/>
          <w:szCs w:val="28"/>
        </w:rPr>
        <w:t>(1)For the purposes of section 3, a person meets the basic conditions who—</w:t>
      </w:r>
    </w:p>
    <w:p w:rsidR="00584C12" w:rsidRPr="00FC1301" w:rsidRDefault="00584C12" w:rsidP="00FC1301">
      <w:pPr>
        <w:pStyle w:val="ListParagraph"/>
        <w:rPr>
          <w:i/>
          <w:sz w:val="28"/>
          <w:szCs w:val="28"/>
        </w:rPr>
      </w:pPr>
      <w:r w:rsidRPr="00FC1301">
        <w:rPr>
          <w:i/>
          <w:sz w:val="28"/>
          <w:szCs w:val="28"/>
        </w:rPr>
        <w:t>(a)is at least 18 years old,</w:t>
      </w:r>
    </w:p>
    <w:p w:rsidR="00584C12" w:rsidRPr="00FC1301" w:rsidRDefault="00584C12" w:rsidP="00FC1301">
      <w:pPr>
        <w:pStyle w:val="ListParagraph"/>
        <w:rPr>
          <w:i/>
          <w:sz w:val="28"/>
          <w:szCs w:val="28"/>
        </w:rPr>
      </w:pPr>
      <w:r w:rsidRPr="00FC1301">
        <w:rPr>
          <w:i/>
          <w:sz w:val="28"/>
          <w:szCs w:val="28"/>
        </w:rPr>
        <w:t>(b)has not reached the qualifying age for state pension credit,</w:t>
      </w:r>
    </w:p>
    <w:p w:rsidR="00584C12" w:rsidRPr="00FC1301" w:rsidRDefault="00584C12" w:rsidP="00FC1301">
      <w:pPr>
        <w:pStyle w:val="ListParagraph"/>
        <w:rPr>
          <w:i/>
          <w:sz w:val="28"/>
          <w:szCs w:val="28"/>
        </w:rPr>
      </w:pPr>
      <w:r w:rsidRPr="00FC1301">
        <w:rPr>
          <w:i/>
          <w:sz w:val="28"/>
          <w:szCs w:val="28"/>
        </w:rPr>
        <w:t>(c)is in Great Britain,</w:t>
      </w:r>
    </w:p>
    <w:p w:rsidR="00584C12" w:rsidRPr="00FC1301" w:rsidRDefault="00584C12" w:rsidP="00FC1301">
      <w:pPr>
        <w:pStyle w:val="ListParagraph"/>
        <w:rPr>
          <w:i/>
          <w:sz w:val="28"/>
          <w:szCs w:val="28"/>
        </w:rPr>
      </w:pPr>
      <w:r w:rsidRPr="00FC1301">
        <w:rPr>
          <w:i/>
          <w:sz w:val="28"/>
          <w:szCs w:val="28"/>
        </w:rPr>
        <w:t>(d)is not receiving education, and</w:t>
      </w:r>
    </w:p>
    <w:p w:rsidR="00584C12" w:rsidRPr="00FC1301" w:rsidRDefault="00584C12" w:rsidP="00FC1301">
      <w:pPr>
        <w:pStyle w:val="ListParagraph"/>
        <w:rPr>
          <w:i/>
          <w:sz w:val="28"/>
          <w:szCs w:val="28"/>
        </w:rPr>
      </w:pPr>
      <w:r w:rsidRPr="00FC1301">
        <w:rPr>
          <w:i/>
          <w:sz w:val="28"/>
          <w:szCs w:val="28"/>
        </w:rPr>
        <w:t>(e)has accepted a claimant commitment.</w:t>
      </w:r>
    </w:p>
    <w:p w:rsidR="00584C12" w:rsidRPr="00584C12" w:rsidRDefault="00584C12" w:rsidP="00584C12">
      <w:pPr>
        <w:pStyle w:val="ListParagraph"/>
        <w:rPr>
          <w:sz w:val="28"/>
          <w:szCs w:val="28"/>
        </w:rPr>
      </w:pPr>
    </w:p>
    <w:p w:rsidR="00584C12" w:rsidRDefault="00584C12" w:rsidP="00584C12">
      <w:pPr>
        <w:rPr>
          <w:sz w:val="28"/>
          <w:szCs w:val="28"/>
        </w:rPr>
      </w:pPr>
    </w:p>
    <w:p w:rsidR="00584C12" w:rsidRDefault="00584C12" w:rsidP="00FC1301">
      <w:pPr>
        <w:pStyle w:val="ListParagraph"/>
        <w:numPr>
          <w:ilvl w:val="0"/>
          <w:numId w:val="1"/>
        </w:numPr>
        <w:rPr>
          <w:sz w:val="28"/>
          <w:szCs w:val="28"/>
        </w:rPr>
      </w:pPr>
      <w:r>
        <w:rPr>
          <w:sz w:val="28"/>
          <w:szCs w:val="28"/>
        </w:rPr>
        <w:t xml:space="preserve">Section 4(5) </w:t>
      </w:r>
      <w:r w:rsidR="00FC1301">
        <w:rPr>
          <w:sz w:val="28"/>
          <w:szCs w:val="28"/>
        </w:rPr>
        <w:t xml:space="preserve">of the Welfare Reform Act 2012 </w:t>
      </w:r>
      <w:r>
        <w:rPr>
          <w:sz w:val="28"/>
          <w:szCs w:val="28"/>
        </w:rPr>
        <w:t>provides:-</w:t>
      </w:r>
    </w:p>
    <w:p w:rsidR="00FC1301" w:rsidRDefault="00FC1301" w:rsidP="00FC1301">
      <w:pPr>
        <w:pStyle w:val="ListParagraph"/>
        <w:rPr>
          <w:sz w:val="28"/>
          <w:szCs w:val="28"/>
        </w:rPr>
      </w:pPr>
    </w:p>
    <w:p w:rsidR="00584C12" w:rsidRDefault="00584C12" w:rsidP="00FC1301">
      <w:pPr>
        <w:pStyle w:val="ListParagraph"/>
        <w:rPr>
          <w:i/>
          <w:sz w:val="28"/>
          <w:szCs w:val="28"/>
        </w:rPr>
      </w:pPr>
      <w:r w:rsidRPr="00FC1301">
        <w:rPr>
          <w:i/>
          <w:sz w:val="28"/>
          <w:szCs w:val="28"/>
        </w:rPr>
        <w:t>(5)For the basic condition in subsection (1</w:t>
      </w:r>
      <w:proofErr w:type="gramStart"/>
      <w:r w:rsidRPr="00FC1301">
        <w:rPr>
          <w:i/>
          <w:sz w:val="28"/>
          <w:szCs w:val="28"/>
        </w:rPr>
        <w:t>)(</w:t>
      </w:r>
      <w:proofErr w:type="gramEnd"/>
      <w:r w:rsidRPr="00FC1301">
        <w:rPr>
          <w:i/>
          <w:sz w:val="28"/>
          <w:szCs w:val="28"/>
        </w:rPr>
        <w:t>c) regulations may—</w:t>
      </w:r>
    </w:p>
    <w:p w:rsidR="003543A6" w:rsidRPr="00FC1301" w:rsidRDefault="003543A6" w:rsidP="00FC1301">
      <w:pPr>
        <w:pStyle w:val="ListParagraph"/>
        <w:rPr>
          <w:i/>
          <w:sz w:val="28"/>
          <w:szCs w:val="28"/>
        </w:rPr>
      </w:pPr>
    </w:p>
    <w:p w:rsidR="00584C12" w:rsidRPr="00FC1301" w:rsidRDefault="00584C12" w:rsidP="00FC1301">
      <w:pPr>
        <w:pStyle w:val="ListParagraph"/>
        <w:rPr>
          <w:i/>
          <w:sz w:val="28"/>
          <w:szCs w:val="28"/>
        </w:rPr>
      </w:pPr>
      <w:r w:rsidRPr="00FC1301">
        <w:rPr>
          <w:i/>
          <w:sz w:val="28"/>
          <w:szCs w:val="28"/>
        </w:rPr>
        <w:t>(a)specify circumstances in which a person is to be treated as being or not being in Great Britain;</w:t>
      </w:r>
    </w:p>
    <w:p w:rsidR="00584C12" w:rsidRPr="00FC1301" w:rsidRDefault="00584C12" w:rsidP="00FC1301">
      <w:pPr>
        <w:pStyle w:val="ListParagraph"/>
        <w:rPr>
          <w:i/>
          <w:sz w:val="28"/>
          <w:szCs w:val="28"/>
        </w:rPr>
      </w:pPr>
      <w:r w:rsidRPr="00FC1301">
        <w:rPr>
          <w:i/>
          <w:sz w:val="28"/>
          <w:szCs w:val="28"/>
        </w:rPr>
        <w:t>(b)specify circumstances in which temporary absence from Great Britain is disregarded;</w:t>
      </w:r>
    </w:p>
    <w:p w:rsidR="00584C12" w:rsidRDefault="00584C12" w:rsidP="00FC1301">
      <w:pPr>
        <w:pStyle w:val="ListParagraph"/>
        <w:rPr>
          <w:i/>
          <w:sz w:val="28"/>
          <w:szCs w:val="28"/>
        </w:rPr>
      </w:pPr>
      <w:r w:rsidRPr="00FC1301">
        <w:rPr>
          <w:i/>
          <w:sz w:val="28"/>
          <w:szCs w:val="28"/>
        </w:rPr>
        <w:t>(c)modify the application of this Part in relation to a person not in Great Britain who is by virtue of paragraph (b) entitled to universal credit.</w:t>
      </w:r>
    </w:p>
    <w:p w:rsidR="00FC1301" w:rsidRDefault="00FC1301" w:rsidP="00FC1301">
      <w:pPr>
        <w:pStyle w:val="ListParagraph"/>
        <w:rPr>
          <w:i/>
          <w:sz w:val="28"/>
          <w:szCs w:val="28"/>
        </w:rPr>
      </w:pPr>
    </w:p>
    <w:p w:rsidR="00584C12" w:rsidRDefault="00584C12" w:rsidP="00584C12">
      <w:pPr>
        <w:rPr>
          <w:sz w:val="28"/>
          <w:szCs w:val="28"/>
        </w:rPr>
      </w:pPr>
    </w:p>
    <w:p w:rsidR="00FC1301" w:rsidRDefault="00FC1301" w:rsidP="00FC1301">
      <w:pPr>
        <w:pStyle w:val="ListParagraph"/>
        <w:numPr>
          <w:ilvl w:val="0"/>
          <w:numId w:val="1"/>
        </w:numPr>
        <w:rPr>
          <w:sz w:val="28"/>
          <w:szCs w:val="28"/>
        </w:rPr>
      </w:pPr>
      <w:r>
        <w:rPr>
          <w:sz w:val="28"/>
          <w:szCs w:val="28"/>
        </w:rPr>
        <w:t>The Universal Credit Regulations 2013</w:t>
      </w:r>
      <w:r w:rsidR="003B2AD3">
        <w:rPr>
          <w:sz w:val="28"/>
          <w:szCs w:val="28"/>
        </w:rPr>
        <w:t>, SI 2013/376,</w:t>
      </w:r>
      <w:r>
        <w:rPr>
          <w:sz w:val="28"/>
          <w:szCs w:val="28"/>
        </w:rPr>
        <w:t xml:space="preserve"> were made </w:t>
      </w:r>
      <w:r w:rsidR="003543A6">
        <w:rPr>
          <w:sz w:val="28"/>
          <w:szCs w:val="28"/>
        </w:rPr>
        <w:t>under the Welfare Reform Act 2012</w:t>
      </w:r>
      <w:r w:rsidR="008F7D7C">
        <w:rPr>
          <w:sz w:val="28"/>
          <w:szCs w:val="28"/>
        </w:rPr>
        <w:t>,</w:t>
      </w:r>
      <w:r w:rsidR="003543A6">
        <w:rPr>
          <w:sz w:val="28"/>
          <w:szCs w:val="28"/>
        </w:rPr>
        <w:t xml:space="preserve"> including section 4(5). </w:t>
      </w:r>
    </w:p>
    <w:p w:rsidR="00195E34" w:rsidRDefault="00195E34" w:rsidP="00195E34">
      <w:pPr>
        <w:rPr>
          <w:sz w:val="28"/>
          <w:szCs w:val="28"/>
        </w:rPr>
      </w:pPr>
    </w:p>
    <w:p w:rsidR="003543A6" w:rsidRDefault="003543A6" w:rsidP="003543A6">
      <w:pPr>
        <w:pStyle w:val="ListParagraph"/>
        <w:rPr>
          <w:sz w:val="28"/>
          <w:szCs w:val="28"/>
        </w:rPr>
      </w:pPr>
    </w:p>
    <w:p w:rsidR="00584C12" w:rsidRPr="00FC1301" w:rsidRDefault="00584C12" w:rsidP="00FC1301">
      <w:pPr>
        <w:pStyle w:val="ListParagraph"/>
        <w:numPr>
          <w:ilvl w:val="0"/>
          <w:numId w:val="1"/>
        </w:numPr>
        <w:rPr>
          <w:sz w:val="28"/>
          <w:szCs w:val="28"/>
        </w:rPr>
      </w:pPr>
      <w:r w:rsidRPr="00FC1301">
        <w:rPr>
          <w:sz w:val="28"/>
          <w:szCs w:val="28"/>
        </w:rPr>
        <w:t xml:space="preserve">Regulations 9(1) and (2) of the Universal </w:t>
      </w:r>
      <w:r w:rsidR="003543A6">
        <w:rPr>
          <w:sz w:val="28"/>
          <w:szCs w:val="28"/>
        </w:rPr>
        <w:t xml:space="preserve">Credit </w:t>
      </w:r>
      <w:r w:rsidRPr="00FC1301">
        <w:rPr>
          <w:sz w:val="28"/>
          <w:szCs w:val="28"/>
        </w:rPr>
        <w:t>Regulations 2013 provide:-</w:t>
      </w:r>
    </w:p>
    <w:p w:rsidR="00584C12" w:rsidRDefault="00584C12" w:rsidP="00584C12">
      <w:pPr>
        <w:rPr>
          <w:sz w:val="28"/>
          <w:szCs w:val="28"/>
        </w:rPr>
      </w:pPr>
    </w:p>
    <w:p w:rsidR="00584C12" w:rsidRDefault="00584C12" w:rsidP="003543A6">
      <w:pPr>
        <w:pStyle w:val="ListParagraph"/>
        <w:rPr>
          <w:i/>
          <w:sz w:val="28"/>
          <w:szCs w:val="28"/>
        </w:rPr>
      </w:pPr>
      <w:r w:rsidRPr="003543A6">
        <w:rPr>
          <w:i/>
          <w:sz w:val="28"/>
          <w:szCs w:val="28"/>
        </w:rPr>
        <w:t>Persons treated as not being in Great Britain</w:t>
      </w:r>
    </w:p>
    <w:p w:rsidR="003543A6" w:rsidRPr="003543A6" w:rsidRDefault="003543A6" w:rsidP="003543A6">
      <w:pPr>
        <w:pStyle w:val="ListParagraph"/>
        <w:rPr>
          <w:i/>
          <w:sz w:val="28"/>
          <w:szCs w:val="28"/>
        </w:rPr>
      </w:pPr>
    </w:p>
    <w:p w:rsidR="00584C12" w:rsidRDefault="00584C12" w:rsidP="003543A6">
      <w:pPr>
        <w:pStyle w:val="ListParagraph"/>
        <w:rPr>
          <w:i/>
          <w:sz w:val="28"/>
          <w:szCs w:val="28"/>
        </w:rPr>
      </w:pPr>
      <w:r w:rsidRPr="003543A6">
        <w:rPr>
          <w:i/>
          <w:sz w:val="28"/>
          <w:szCs w:val="28"/>
        </w:rPr>
        <w:t xml:space="preserve">9.—(1) For the purposes of determining whether a person meets the basic condition to be in Great Britain, except where a person falls within paragraph (4), a person is to be treated as not being in Great Britain if the person is not habitually resident in the United Kingdom, the Channel Islands, the Isle of Man or the Republic of Ireland. </w:t>
      </w:r>
    </w:p>
    <w:p w:rsidR="003543A6" w:rsidRPr="003543A6" w:rsidRDefault="003543A6" w:rsidP="003543A6">
      <w:pPr>
        <w:pStyle w:val="ListParagraph"/>
        <w:rPr>
          <w:i/>
          <w:sz w:val="28"/>
          <w:szCs w:val="28"/>
        </w:rPr>
      </w:pPr>
    </w:p>
    <w:p w:rsidR="00584C12" w:rsidRPr="003543A6" w:rsidRDefault="00584C12" w:rsidP="003543A6">
      <w:pPr>
        <w:pStyle w:val="ListParagraph"/>
        <w:rPr>
          <w:i/>
          <w:sz w:val="28"/>
          <w:szCs w:val="28"/>
        </w:rPr>
      </w:pPr>
      <w:r w:rsidRPr="003543A6">
        <w:rPr>
          <w:i/>
          <w:sz w:val="28"/>
          <w:szCs w:val="28"/>
        </w:rPr>
        <w:t xml:space="preserve">(2) A person must not be treated as habitually resident in the United Kingdom, the Channel Islands, the Isle of Man or the Republic of Ireland unless the person has a right to reside in one of those places. </w:t>
      </w:r>
    </w:p>
    <w:p w:rsidR="00584C12" w:rsidRPr="003543A6" w:rsidRDefault="006A49CB" w:rsidP="003543A6">
      <w:pPr>
        <w:pStyle w:val="ListParagraph"/>
        <w:rPr>
          <w:i/>
          <w:sz w:val="28"/>
          <w:szCs w:val="28"/>
        </w:rPr>
      </w:pPr>
      <w:r w:rsidRPr="003543A6">
        <w:rPr>
          <w:i/>
          <w:sz w:val="28"/>
          <w:szCs w:val="28"/>
        </w:rPr>
        <w:t>9(3) sets out what does not constitute a right to reside for 9(2)</w:t>
      </w:r>
    </w:p>
    <w:p w:rsidR="006A49CB" w:rsidRDefault="006A49CB" w:rsidP="003543A6">
      <w:pPr>
        <w:pStyle w:val="ListParagraph"/>
        <w:rPr>
          <w:i/>
          <w:sz w:val="28"/>
          <w:szCs w:val="28"/>
        </w:rPr>
      </w:pPr>
      <w:r w:rsidRPr="003543A6">
        <w:rPr>
          <w:i/>
          <w:sz w:val="28"/>
          <w:szCs w:val="28"/>
        </w:rPr>
        <w:t>9(4) set out what constitutes a right to reside.</w:t>
      </w:r>
    </w:p>
    <w:p w:rsidR="00CB2ED1" w:rsidRPr="003543A6" w:rsidRDefault="00CB2ED1" w:rsidP="003543A6">
      <w:pPr>
        <w:pStyle w:val="ListParagraph"/>
        <w:rPr>
          <w:i/>
          <w:sz w:val="28"/>
          <w:szCs w:val="28"/>
        </w:rPr>
      </w:pPr>
    </w:p>
    <w:p w:rsidR="00B426A7" w:rsidRPr="003543A6" w:rsidRDefault="00B426A7" w:rsidP="003543A6">
      <w:pPr>
        <w:pStyle w:val="ListParagraph"/>
        <w:rPr>
          <w:i/>
          <w:sz w:val="28"/>
          <w:szCs w:val="28"/>
        </w:rPr>
      </w:pPr>
    </w:p>
    <w:p w:rsidR="00AF7E3C" w:rsidRDefault="00E065E7" w:rsidP="00DA4731">
      <w:pPr>
        <w:pStyle w:val="ListParagraph"/>
        <w:numPr>
          <w:ilvl w:val="0"/>
          <w:numId w:val="1"/>
        </w:numPr>
        <w:rPr>
          <w:sz w:val="28"/>
          <w:szCs w:val="28"/>
        </w:rPr>
      </w:pPr>
      <w:r w:rsidRPr="00B426A7">
        <w:rPr>
          <w:sz w:val="28"/>
          <w:szCs w:val="28"/>
        </w:rPr>
        <w:lastRenderedPageBreak/>
        <w:t>The Secretary of State</w:t>
      </w:r>
      <w:r w:rsidR="00AF7E3C">
        <w:rPr>
          <w:sz w:val="28"/>
          <w:szCs w:val="28"/>
        </w:rPr>
        <w:t xml:space="preserve">’s decision of </w:t>
      </w:r>
      <w:r w:rsidR="00CB2ED1">
        <w:rPr>
          <w:sz w:val="28"/>
          <w:szCs w:val="28"/>
        </w:rPr>
        <w:t>………………</w:t>
      </w:r>
      <w:r w:rsidR="00AF7E3C">
        <w:rPr>
          <w:sz w:val="28"/>
          <w:szCs w:val="28"/>
        </w:rPr>
        <w:t xml:space="preserve"> refusing the Appellant’s claim for Universal Credit reads:</w:t>
      </w:r>
    </w:p>
    <w:p w:rsidR="00AF7E3C" w:rsidRDefault="00AF7E3C" w:rsidP="00AF7E3C">
      <w:pPr>
        <w:rPr>
          <w:sz w:val="28"/>
          <w:szCs w:val="28"/>
        </w:rPr>
      </w:pPr>
    </w:p>
    <w:p w:rsidR="00CB2ED1" w:rsidRDefault="00AF7E3C" w:rsidP="00CB2ED1">
      <w:pPr>
        <w:pStyle w:val="ListParagraph"/>
        <w:rPr>
          <w:i/>
          <w:sz w:val="28"/>
          <w:szCs w:val="28"/>
        </w:rPr>
      </w:pPr>
      <w:r w:rsidRPr="00AF7E3C">
        <w:rPr>
          <w:i/>
          <w:sz w:val="28"/>
          <w:szCs w:val="28"/>
        </w:rPr>
        <w:t>“</w:t>
      </w:r>
      <w:r w:rsidR="00CB2ED1">
        <w:rPr>
          <w:i/>
          <w:sz w:val="28"/>
          <w:szCs w:val="28"/>
        </w:rPr>
        <w:t>………………………………………………</w:t>
      </w:r>
    </w:p>
    <w:p w:rsidR="00AF7E3C" w:rsidRDefault="00CB2ED1" w:rsidP="00AF7E3C">
      <w:pPr>
        <w:pStyle w:val="ListParagraph"/>
        <w:rPr>
          <w:noProof/>
        </w:rPr>
      </w:pPr>
      <w:r>
        <w:rPr>
          <w:i/>
          <w:sz w:val="28"/>
          <w:szCs w:val="28"/>
        </w:rPr>
        <w:t>…………………………………………………..</w:t>
      </w:r>
      <w:r w:rsidR="00AF7E3C" w:rsidRPr="00AF7E3C">
        <w:rPr>
          <w:i/>
          <w:sz w:val="28"/>
          <w:szCs w:val="28"/>
        </w:rPr>
        <w:t>.”</w:t>
      </w:r>
    </w:p>
    <w:p w:rsidR="00AF7E3C" w:rsidRDefault="00AF7E3C" w:rsidP="00AF7E3C">
      <w:pPr>
        <w:pStyle w:val="ListParagraph"/>
      </w:pPr>
    </w:p>
    <w:p w:rsidR="00AF7E3C" w:rsidRPr="00AF7E3C" w:rsidRDefault="00AF7E3C" w:rsidP="00AF7E3C">
      <w:pPr>
        <w:rPr>
          <w:sz w:val="28"/>
          <w:szCs w:val="28"/>
        </w:rPr>
      </w:pPr>
    </w:p>
    <w:p w:rsidR="00B426A7" w:rsidRDefault="00031FDC" w:rsidP="00AF7E3C">
      <w:pPr>
        <w:pStyle w:val="ListParagraph"/>
        <w:numPr>
          <w:ilvl w:val="0"/>
          <w:numId w:val="1"/>
        </w:numPr>
        <w:rPr>
          <w:sz w:val="28"/>
          <w:szCs w:val="28"/>
        </w:rPr>
      </w:pPr>
      <w:r>
        <w:rPr>
          <w:sz w:val="28"/>
          <w:szCs w:val="28"/>
        </w:rPr>
        <w:t>As t</w:t>
      </w:r>
      <w:r w:rsidR="00B426A7">
        <w:rPr>
          <w:sz w:val="28"/>
          <w:szCs w:val="28"/>
        </w:rPr>
        <w:t xml:space="preserve">he Appellant was </w:t>
      </w:r>
      <w:r w:rsidR="00AF7E3C">
        <w:rPr>
          <w:sz w:val="28"/>
          <w:szCs w:val="28"/>
        </w:rPr>
        <w:t>treated as not</w:t>
      </w:r>
      <w:r w:rsidR="00B426A7">
        <w:rPr>
          <w:sz w:val="28"/>
          <w:szCs w:val="28"/>
        </w:rPr>
        <w:t xml:space="preserve"> in Great Britain for the purpose of section 4(1)(c) of the Welfare Reform Act 201</w:t>
      </w:r>
      <w:r>
        <w:rPr>
          <w:sz w:val="28"/>
          <w:szCs w:val="28"/>
        </w:rPr>
        <w:t>2, the Secretary of State was not satisfied that she met the basic condition in section 4(1)</w:t>
      </w:r>
      <w:r w:rsidR="00AF7E3C">
        <w:rPr>
          <w:sz w:val="28"/>
          <w:szCs w:val="28"/>
        </w:rPr>
        <w:t>(c)</w:t>
      </w:r>
    </w:p>
    <w:p w:rsidR="00031FDC" w:rsidRDefault="00031FDC" w:rsidP="00031FDC">
      <w:pPr>
        <w:pStyle w:val="ListParagraph"/>
        <w:rPr>
          <w:sz w:val="28"/>
          <w:szCs w:val="28"/>
        </w:rPr>
      </w:pPr>
    </w:p>
    <w:p w:rsidR="00031FDC" w:rsidRPr="00AF7E3C" w:rsidRDefault="003B2AD3" w:rsidP="00AF7E3C">
      <w:pPr>
        <w:pStyle w:val="ListParagraph"/>
        <w:numPr>
          <w:ilvl w:val="0"/>
          <w:numId w:val="1"/>
        </w:numPr>
        <w:rPr>
          <w:sz w:val="28"/>
          <w:szCs w:val="28"/>
        </w:rPr>
      </w:pPr>
      <w:r>
        <w:rPr>
          <w:sz w:val="28"/>
          <w:szCs w:val="28"/>
        </w:rPr>
        <w:t>By Regulation 8(1)(b), r</w:t>
      </w:r>
      <w:r w:rsidR="00031FDC" w:rsidRPr="00AF7E3C">
        <w:rPr>
          <w:sz w:val="28"/>
          <w:szCs w:val="28"/>
        </w:rPr>
        <w:t>egulation 8 UC (TP) 2014 does not therefore apply and there are no grounds for terminating the Appellant’s award.</w:t>
      </w:r>
    </w:p>
    <w:p w:rsidR="001C7457" w:rsidRDefault="001C7457" w:rsidP="00031FDC">
      <w:pPr>
        <w:pStyle w:val="ListParagraph"/>
        <w:rPr>
          <w:sz w:val="28"/>
          <w:szCs w:val="28"/>
        </w:rPr>
      </w:pPr>
    </w:p>
    <w:p w:rsidR="00B92F90" w:rsidRDefault="003465C8" w:rsidP="003B2AD3">
      <w:pPr>
        <w:pStyle w:val="ListParagraph"/>
        <w:numPr>
          <w:ilvl w:val="0"/>
          <w:numId w:val="1"/>
        </w:numPr>
        <w:rPr>
          <w:sz w:val="28"/>
          <w:szCs w:val="28"/>
        </w:rPr>
      </w:pPr>
      <w:r>
        <w:rPr>
          <w:sz w:val="28"/>
          <w:szCs w:val="28"/>
        </w:rPr>
        <w:t xml:space="preserve">In relation to the </w:t>
      </w:r>
      <w:r w:rsidR="00B92F90">
        <w:rPr>
          <w:sz w:val="28"/>
          <w:szCs w:val="28"/>
        </w:rPr>
        <w:t xml:space="preserve">Commissioners’ Submission of </w:t>
      </w:r>
      <w:r w:rsidR="00CB2ED1">
        <w:rPr>
          <w:sz w:val="28"/>
          <w:szCs w:val="28"/>
        </w:rPr>
        <w:t>………………..</w:t>
      </w:r>
      <w:r w:rsidR="00B92F90">
        <w:rPr>
          <w:sz w:val="28"/>
          <w:szCs w:val="28"/>
        </w:rPr>
        <w:t xml:space="preserve">, the Secretary of State was clearly </w:t>
      </w:r>
      <w:r w:rsidR="00B92F90">
        <w:rPr>
          <w:sz w:val="28"/>
          <w:szCs w:val="28"/>
          <w:u w:val="single"/>
        </w:rPr>
        <w:t>not</w:t>
      </w:r>
      <w:r w:rsidR="00B92F90">
        <w:rPr>
          <w:sz w:val="28"/>
          <w:szCs w:val="28"/>
        </w:rPr>
        <w:t xml:space="preserve"> satisfied that the Appellant met the basic conditions for Universal Credit (see decision letter).</w:t>
      </w:r>
    </w:p>
    <w:p w:rsidR="00B92F90" w:rsidRPr="00B92F90" w:rsidRDefault="00B92F90" w:rsidP="00B92F90">
      <w:pPr>
        <w:pStyle w:val="ListParagraph"/>
        <w:rPr>
          <w:sz w:val="28"/>
          <w:szCs w:val="28"/>
        </w:rPr>
      </w:pPr>
    </w:p>
    <w:p w:rsidR="00B92F90" w:rsidRDefault="00B92F90" w:rsidP="003B2AD3">
      <w:pPr>
        <w:pStyle w:val="ListParagraph"/>
        <w:numPr>
          <w:ilvl w:val="0"/>
          <w:numId w:val="1"/>
        </w:numPr>
        <w:rPr>
          <w:sz w:val="28"/>
          <w:szCs w:val="28"/>
        </w:rPr>
      </w:pPr>
      <w:r>
        <w:rPr>
          <w:sz w:val="28"/>
          <w:szCs w:val="28"/>
        </w:rPr>
        <w:t xml:space="preserve"> HMRC v LH, [2018] UKUT 306 (AAC) </w:t>
      </w:r>
      <w:r w:rsidR="00664B5A">
        <w:rPr>
          <w:sz w:val="28"/>
          <w:szCs w:val="28"/>
        </w:rPr>
        <w:t xml:space="preserve">concerned a claim for Universal Credit which was made by mistake and withdrawn. In the meantime, the award of tax credits was terminated. </w:t>
      </w:r>
    </w:p>
    <w:p w:rsidR="00B92F90" w:rsidRPr="00B92F90" w:rsidRDefault="00B92F90" w:rsidP="00B92F90">
      <w:pPr>
        <w:pStyle w:val="ListParagraph"/>
        <w:rPr>
          <w:sz w:val="28"/>
          <w:szCs w:val="28"/>
        </w:rPr>
      </w:pPr>
    </w:p>
    <w:p w:rsidR="001C7457" w:rsidRDefault="001C7457" w:rsidP="003B2AD3">
      <w:pPr>
        <w:pStyle w:val="ListParagraph"/>
        <w:numPr>
          <w:ilvl w:val="0"/>
          <w:numId w:val="1"/>
        </w:numPr>
        <w:rPr>
          <w:sz w:val="28"/>
          <w:szCs w:val="28"/>
        </w:rPr>
      </w:pPr>
      <w:r>
        <w:rPr>
          <w:sz w:val="28"/>
          <w:szCs w:val="28"/>
        </w:rPr>
        <w:t>Notification to an agency administering a legacy benefit of a claim for Universal Credit is not sufficient to terminate that benefit. There must be evidence that the Secretary of State was satisfied as to the basic conditions: paragraph 9, [2018] UKUT 306 (AAC).</w:t>
      </w:r>
    </w:p>
    <w:p w:rsidR="000B60AF" w:rsidRPr="000B60AF" w:rsidRDefault="000B60AF" w:rsidP="000B60AF">
      <w:pPr>
        <w:pStyle w:val="ListParagraph"/>
        <w:rPr>
          <w:sz w:val="28"/>
          <w:szCs w:val="28"/>
        </w:rPr>
      </w:pPr>
    </w:p>
    <w:p w:rsidR="00195E34" w:rsidRDefault="00195E34" w:rsidP="00031FDC">
      <w:pPr>
        <w:pStyle w:val="ListParagraph"/>
        <w:rPr>
          <w:sz w:val="28"/>
          <w:szCs w:val="28"/>
        </w:rPr>
      </w:pPr>
    </w:p>
    <w:p w:rsidR="00031FDC" w:rsidRDefault="00031FDC" w:rsidP="00031FDC">
      <w:pPr>
        <w:pStyle w:val="ListParagraph"/>
        <w:rPr>
          <w:sz w:val="28"/>
          <w:szCs w:val="28"/>
        </w:rPr>
      </w:pPr>
      <w:r>
        <w:rPr>
          <w:sz w:val="28"/>
          <w:szCs w:val="28"/>
        </w:rPr>
        <w:t>Michael Haran</w:t>
      </w:r>
    </w:p>
    <w:p w:rsidR="00031FDC" w:rsidRDefault="00031FDC" w:rsidP="00031FDC">
      <w:pPr>
        <w:pStyle w:val="ListParagraph"/>
        <w:rPr>
          <w:sz w:val="28"/>
          <w:szCs w:val="28"/>
        </w:rPr>
      </w:pPr>
      <w:r>
        <w:rPr>
          <w:sz w:val="28"/>
          <w:szCs w:val="28"/>
        </w:rPr>
        <w:t>Richmond CAB</w:t>
      </w:r>
    </w:p>
    <w:p w:rsidR="00B426A7" w:rsidRPr="00B426A7" w:rsidRDefault="00B426A7" w:rsidP="00B426A7">
      <w:pPr>
        <w:rPr>
          <w:sz w:val="28"/>
          <w:szCs w:val="28"/>
        </w:rPr>
      </w:pPr>
      <w:bookmarkStart w:id="1" w:name="_GoBack"/>
      <w:bookmarkEnd w:id="1"/>
      <w:r w:rsidRPr="00B426A7">
        <w:rPr>
          <w:noProof/>
          <w:sz w:val="28"/>
          <w:szCs w:val="28"/>
          <w:lang w:eastAsia="en-GB"/>
        </w:rPr>
        <w:drawing>
          <wp:inline distT="0" distB="0" distL="0" distR="0">
            <wp:extent cx="4683760" cy="12896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3760" cy="1289685"/>
                    </a:xfrm>
                    <a:prstGeom prst="rect">
                      <a:avLst/>
                    </a:prstGeom>
                    <a:noFill/>
                    <a:ln>
                      <a:noFill/>
                    </a:ln>
                  </pic:spPr>
                </pic:pic>
              </a:graphicData>
            </a:graphic>
          </wp:inline>
        </w:drawing>
      </w:r>
    </w:p>
    <w:p w:rsidR="00584C12" w:rsidRPr="00584C12" w:rsidRDefault="00584C12" w:rsidP="00584C12">
      <w:pPr>
        <w:rPr>
          <w:sz w:val="28"/>
          <w:szCs w:val="28"/>
        </w:rPr>
      </w:pPr>
    </w:p>
    <w:sectPr w:rsidR="00584C12" w:rsidRPr="00584C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564" w:rsidRDefault="00861564" w:rsidP="006A49CB">
      <w:pPr>
        <w:spacing w:line="240" w:lineRule="auto"/>
      </w:pPr>
      <w:r>
        <w:separator/>
      </w:r>
    </w:p>
  </w:endnote>
  <w:endnote w:type="continuationSeparator" w:id="0">
    <w:p w:rsidR="00861564" w:rsidRDefault="00861564" w:rsidP="006A4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CB" w:rsidRDefault="006A4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CB" w:rsidRDefault="006A49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CB" w:rsidRDefault="006A4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564" w:rsidRDefault="00861564" w:rsidP="006A49CB">
      <w:pPr>
        <w:spacing w:line="240" w:lineRule="auto"/>
      </w:pPr>
      <w:r>
        <w:separator/>
      </w:r>
    </w:p>
  </w:footnote>
  <w:footnote w:type="continuationSeparator" w:id="0">
    <w:p w:rsidR="00861564" w:rsidRDefault="00861564" w:rsidP="006A49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CB" w:rsidRDefault="006A4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5A" w:rsidRDefault="00562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CB" w:rsidRDefault="006A4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52F"/>
    <w:multiLevelType w:val="hybridMultilevel"/>
    <w:tmpl w:val="285E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5B65AC"/>
    <w:multiLevelType w:val="hybridMultilevel"/>
    <w:tmpl w:val="984C10F0"/>
    <w:lvl w:ilvl="0" w:tplc="E1BA414E">
      <w:start w:val="1"/>
      <w:numFmt w:val="decimal"/>
      <w:lvlText w:val="(%1)"/>
      <w:lvlJc w:val="left"/>
      <w:pPr>
        <w:ind w:left="1092" w:hanging="372"/>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29"/>
    <w:rsid w:val="00031FDC"/>
    <w:rsid w:val="000A6B29"/>
    <w:rsid w:val="000B60AF"/>
    <w:rsid w:val="000D2A2C"/>
    <w:rsid w:val="00195E34"/>
    <w:rsid w:val="001C7457"/>
    <w:rsid w:val="001F0648"/>
    <w:rsid w:val="0020000F"/>
    <w:rsid w:val="003465C8"/>
    <w:rsid w:val="003543A6"/>
    <w:rsid w:val="003B2AD3"/>
    <w:rsid w:val="004B61E9"/>
    <w:rsid w:val="0056205A"/>
    <w:rsid w:val="00584C12"/>
    <w:rsid w:val="00664B5A"/>
    <w:rsid w:val="006A49CB"/>
    <w:rsid w:val="00861564"/>
    <w:rsid w:val="008F7D7C"/>
    <w:rsid w:val="0091378A"/>
    <w:rsid w:val="00960FD2"/>
    <w:rsid w:val="009A6497"/>
    <w:rsid w:val="00A13484"/>
    <w:rsid w:val="00A8211A"/>
    <w:rsid w:val="00A90F1A"/>
    <w:rsid w:val="00AF7E3C"/>
    <w:rsid w:val="00B2686E"/>
    <w:rsid w:val="00B426A7"/>
    <w:rsid w:val="00B64C89"/>
    <w:rsid w:val="00B92F90"/>
    <w:rsid w:val="00CB1FF6"/>
    <w:rsid w:val="00CB2ED1"/>
    <w:rsid w:val="00CE0D25"/>
    <w:rsid w:val="00E065E7"/>
    <w:rsid w:val="00E3196C"/>
    <w:rsid w:val="00E75513"/>
    <w:rsid w:val="00FC1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B29"/>
    <w:pPr>
      <w:ind w:left="720"/>
      <w:contextualSpacing/>
    </w:pPr>
  </w:style>
  <w:style w:type="paragraph" w:customStyle="1" w:styleId="legclearfix2">
    <w:name w:val="legclearfix2"/>
    <w:basedOn w:val="Normal"/>
    <w:rsid w:val="009A6497"/>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9A6497"/>
    <w:rPr>
      <w:vanish w:val="0"/>
      <w:webHidden w:val="0"/>
      <w:specVanish w:val="0"/>
    </w:rPr>
  </w:style>
  <w:style w:type="paragraph" w:styleId="Header">
    <w:name w:val="header"/>
    <w:basedOn w:val="Normal"/>
    <w:link w:val="HeaderChar"/>
    <w:uiPriority w:val="99"/>
    <w:unhideWhenUsed/>
    <w:rsid w:val="006A49CB"/>
    <w:pPr>
      <w:tabs>
        <w:tab w:val="center" w:pos="4513"/>
        <w:tab w:val="right" w:pos="9026"/>
      </w:tabs>
      <w:spacing w:line="240" w:lineRule="auto"/>
    </w:pPr>
  </w:style>
  <w:style w:type="character" w:customStyle="1" w:styleId="HeaderChar">
    <w:name w:val="Header Char"/>
    <w:basedOn w:val="DefaultParagraphFont"/>
    <w:link w:val="Header"/>
    <w:uiPriority w:val="99"/>
    <w:rsid w:val="006A49CB"/>
  </w:style>
  <w:style w:type="paragraph" w:styleId="Footer">
    <w:name w:val="footer"/>
    <w:basedOn w:val="Normal"/>
    <w:link w:val="FooterChar"/>
    <w:uiPriority w:val="99"/>
    <w:unhideWhenUsed/>
    <w:rsid w:val="006A49CB"/>
    <w:pPr>
      <w:tabs>
        <w:tab w:val="center" w:pos="4513"/>
        <w:tab w:val="right" w:pos="9026"/>
      </w:tabs>
      <w:spacing w:line="240" w:lineRule="auto"/>
    </w:pPr>
  </w:style>
  <w:style w:type="character" w:customStyle="1" w:styleId="FooterChar">
    <w:name w:val="Footer Char"/>
    <w:basedOn w:val="DefaultParagraphFont"/>
    <w:link w:val="Footer"/>
    <w:uiPriority w:val="99"/>
    <w:rsid w:val="006A49CB"/>
  </w:style>
  <w:style w:type="paragraph" w:styleId="BalloonText">
    <w:name w:val="Balloon Text"/>
    <w:basedOn w:val="Normal"/>
    <w:link w:val="BalloonTextChar"/>
    <w:uiPriority w:val="99"/>
    <w:semiHidden/>
    <w:unhideWhenUsed/>
    <w:rsid w:val="00CB2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B29"/>
    <w:pPr>
      <w:ind w:left="720"/>
      <w:contextualSpacing/>
    </w:pPr>
  </w:style>
  <w:style w:type="paragraph" w:customStyle="1" w:styleId="legclearfix2">
    <w:name w:val="legclearfix2"/>
    <w:basedOn w:val="Normal"/>
    <w:rsid w:val="009A6497"/>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9A6497"/>
    <w:rPr>
      <w:vanish w:val="0"/>
      <w:webHidden w:val="0"/>
      <w:specVanish w:val="0"/>
    </w:rPr>
  </w:style>
  <w:style w:type="paragraph" w:styleId="Header">
    <w:name w:val="header"/>
    <w:basedOn w:val="Normal"/>
    <w:link w:val="HeaderChar"/>
    <w:uiPriority w:val="99"/>
    <w:unhideWhenUsed/>
    <w:rsid w:val="006A49CB"/>
    <w:pPr>
      <w:tabs>
        <w:tab w:val="center" w:pos="4513"/>
        <w:tab w:val="right" w:pos="9026"/>
      </w:tabs>
      <w:spacing w:line="240" w:lineRule="auto"/>
    </w:pPr>
  </w:style>
  <w:style w:type="character" w:customStyle="1" w:styleId="HeaderChar">
    <w:name w:val="Header Char"/>
    <w:basedOn w:val="DefaultParagraphFont"/>
    <w:link w:val="Header"/>
    <w:uiPriority w:val="99"/>
    <w:rsid w:val="006A49CB"/>
  </w:style>
  <w:style w:type="paragraph" w:styleId="Footer">
    <w:name w:val="footer"/>
    <w:basedOn w:val="Normal"/>
    <w:link w:val="FooterChar"/>
    <w:uiPriority w:val="99"/>
    <w:unhideWhenUsed/>
    <w:rsid w:val="006A49CB"/>
    <w:pPr>
      <w:tabs>
        <w:tab w:val="center" w:pos="4513"/>
        <w:tab w:val="right" w:pos="9026"/>
      </w:tabs>
      <w:spacing w:line="240" w:lineRule="auto"/>
    </w:pPr>
  </w:style>
  <w:style w:type="character" w:customStyle="1" w:styleId="FooterChar">
    <w:name w:val="Footer Char"/>
    <w:basedOn w:val="DefaultParagraphFont"/>
    <w:link w:val="Footer"/>
    <w:uiPriority w:val="99"/>
    <w:rsid w:val="006A49CB"/>
  </w:style>
  <w:style w:type="paragraph" w:styleId="BalloonText">
    <w:name w:val="Balloon Text"/>
    <w:basedOn w:val="Normal"/>
    <w:link w:val="BalloonTextChar"/>
    <w:uiPriority w:val="99"/>
    <w:semiHidden/>
    <w:unhideWhenUsed/>
    <w:rsid w:val="00CB2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7048">
      <w:bodyDiv w:val="1"/>
      <w:marLeft w:val="0"/>
      <w:marRight w:val="0"/>
      <w:marTop w:val="0"/>
      <w:marBottom w:val="0"/>
      <w:divBdr>
        <w:top w:val="none" w:sz="0" w:space="0" w:color="auto"/>
        <w:left w:val="none" w:sz="0" w:space="0" w:color="auto"/>
        <w:bottom w:val="none" w:sz="0" w:space="0" w:color="auto"/>
        <w:right w:val="none" w:sz="0" w:space="0" w:color="auto"/>
      </w:divBdr>
      <w:divsChild>
        <w:div w:id="97339094">
          <w:marLeft w:val="0"/>
          <w:marRight w:val="0"/>
          <w:marTop w:val="0"/>
          <w:marBottom w:val="0"/>
          <w:divBdr>
            <w:top w:val="none" w:sz="0" w:space="0" w:color="auto"/>
            <w:left w:val="none" w:sz="0" w:space="0" w:color="auto"/>
            <w:bottom w:val="none" w:sz="0" w:space="0" w:color="auto"/>
            <w:right w:val="none" w:sz="0" w:space="0" w:color="auto"/>
          </w:divBdr>
          <w:divsChild>
            <w:div w:id="17858115">
              <w:marLeft w:val="0"/>
              <w:marRight w:val="0"/>
              <w:marTop w:val="0"/>
              <w:marBottom w:val="0"/>
              <w:divBdr>
                <w:top w:val="single" w:sz="2" w:space="0" w:color="FFFFFF"/>
                <w:left w:val="single" w:sz="6" w:space="0" w:color="FFFFFF"/>
                <w:bottom w:val="single" w:sz="6" w:space="0" w:color="FFFFFF"/>
                <w:right w:val="single" w:sz="6" w:space="0" w:color="FFFFFF"/>
              </w:divBdr>
              <w:divsChild>
                <w:div w:id="1366440343">
                  <w:marLeft w:val="0"/>
                  <w:marRight w:val="0"/>
                  <w:marTop w:val="0"/>
                  <w:marBottom w:val="0"/>
                  <w:divBdr>
                    <w:top w:val="single" w:sz="6" w:space="1" w:color="D3D3D3"/>
                    <w:left w:val="none" w:sz="0" w:space="0" w:color="auto"/>
                    <w:bottom w:val="none" w:sz="0" w:space="0" w:color="auto"/>
                    <w:right w:val="none" w:sz="0" w:space="0" w:color="auto"/>
                  </w:divBdr>
                  <w:divsChild>
                    <w:div w:id="979191471">
                      <w:marLeft w:val="0"/>
                      <w:marRight w:val="0"/>
                      <w:marTop w:val="0"/>
                      <w:marBottom w:val="0"/>
                      <w:divBdr>
                        <w:top w:val="none" w:sz="0" w:space="0" w:color="auto"/>
                        <w:left w:val="none" w:sz="0" w:space="0" w:color="auto"/>
                        <w:bottom w:val="none" w:sz="0" w:space="0" w:color="auto"/>
                        <w:right w:val="none" w:sz="0" w:space="0" w:color="auto"/>
                      </w:divBdr>
                      <w:divsChild>
                        <w:div w:id="157817012">
                          <w:marLeft w:val="0"/>
                          <w:marRight w:val="0"/>
                          <w:marTop w:val="0"/>
                          <w:marBottom w:val="0"/>
                          <w:divBdr>
                            <w:top w:val="none" w:sz="0" w:space="0" w:color="auto"/>
                            <w:left w:val="none" w:sz="0" w:space="0" w:color="auto"/>
                            <w:bottom w:val="none" w:sz="0" w:space="0" w:color="auto"/>
                            <w:right w:val="none" w:sz="0" w:space="0" w:color="auto"/>
                          </w:divBdr>
                          <w:divsChild>
                            <w:div w:id="18649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651">
      <w:bodyDiv w:val="1"/>
      <w:marLeft w:val="0"/>
      <w:marRight w:val="0"/>
      <w:marTop w:val="0"/>
      <w:marBottom w:val="0"/>
      <w:divBdr>
        <w:top w:val="none" w:sz="0" w:space="0" w:color="auto"/>
        <w:left w:val="none" w:sz="0" w:space="0" w:color="auto"/>
        <w:bottom w:val="none" w:sz="0" w:space="0" w:color="auto"/>
        <w:right w:val="none" w:sz="0" w:space="0" w:color="auto"/>
      </w:divBdr>
      <w:divsChild>
        <w:div w:id="759375622">
          <w:marLeft w:val="0"/>
          <w:marRight w:val="0"/>
          <w:marTop w:val="0"/>
          <w:marBottom w:val="0"/>
          <w:divBdr>
            <w:top w:val="none" w:sz="0" w:space="0" w:color="auto"/>
            <w:left w:val="none" w:sz="0" w:space="0" w:color="auto"/>
            <w:bottom w:val="none" w:sz="0" w:space="0" w:color="auto"/>
            <w:right w:val="none" w:sz="0" w:space="0" w:color="auto"/>
          </w:divBdr>
          <w:divsChild>
            <w:div w:id="1981182281">
              <w:marLeft w:val="0"/>
              <w:marRight w:val="0"/>
              <w:marTop w:val="0"/>
              <w:marBottom w:val="0"/>
              <w:divBdr>
                <w:top w:val="single" w:sz="2" w:space="0" w:color="FFFFFF"/>
                <w:left w:val="single" w:sz="6" w:space="0" w:color="FFFFFF"/>
                <w:bottom w:val="single" w:sz="6" w:space="0" w:color="FFFFFF"/>
                <w:right w:val="single" w:sz="6" w:space="0" w:color="FFFFFF"/>
              </w:divBdr>
              <w:divsChild>
                <w:div w:id="1518082947">
                  <w:marLeft w:val="0"/>
                  <w:marRight w:val="0"/>
                  <w:marTop w:val="0"/>
                  <w:marBottom w:val="0"/>
                  <w:divBdr>
                    <w:top w:val="single" w:sz="6" w:space="1" w:color="D3D3D3"/>
                    <w:left w:val="none" w:sz="0" w:space="0" w:color="auto"/>
                    <w:bottom w:val="none" w:sz="0" w:space="0" w:color="auto"/>
                    <w:right w:val="none" w:sz="0" w:space="0" w:color="auto"/>
                  </w:divBdr>
                  <w:divsChild>
                    <w:div w:id="1473908612">
                      <w:marLeft w:val="0"/>
                      <w:marRight w:val="0"/>
                      <w:marTop w:val="0"/>
                      <w:marBottom w:val="0"/>
                      <w:divBdr>
                        <w:top w:val="none" w:sz="0" w:space="0" w:color="auto"/>
                        <w:left w:val="none" w:sz="0" w:space="0" w:color="auto"/>
                        <w:bottom w:val="none" w:sz="0" w:space="0" w:color="auto"/>
                        <w:right w:val="none" w:sz="0" w:space="0" w:color="auto"/>
                      </w:divBdr>
                      <w:divsChild>
                        <w:div w:id="12417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380613">
      <w:bodyDiv w:val="1"/>
      <w:marLeft w:val="0"/>
      <w:marRight w:val="0"/>
      <w:marTop w:val="0"/>
      <w:marBottom w:val="0"/>
      <w:divBdr>
        <w:top w:val="none" w:sz="0" w:space="0" w:color="auto"/>
        <w:left w:val="none" w:sz="0" w:space="0" w:color="auto"/>
        <w:bottom w:val="none" w:sz="0" w:space="0" w:color="auto"/>
        <w:right w:val="none" w:sz="0" w:space="0" w:color="auto"/>
      </w:divBdr>
      <w:divsChild>
        <w:div w:id="956910346">
          <w:marLeft w:val="0"/>
          <w:marRight w:val="0"/>
          <w:marTop w:val="0"/>
          <w:marBottom w:val="0"/>
          <w:divBdr>
            <w:top w:val="none" w:sz="0" w:space="0" w:color="auto"/>
            <w:left w:val="none" w:sz="0" w:space="0" w:color="auto"/>
            <w:bottom w:val="none" w:sz="0" w:space="0" w:color="auto"/>
            <w:right w:val="none" w:sz="0" w:space="0" w:color="auto"/>
          </w:divBdr>
          <w:divsChild>
            <w:div w:id="122845367">
              <w:marLeft w:val="0"/>
              <w:marRight w:val="0"/>
              <w:marTop w:val="0"/>
              <w:marBottom w:val="0"/>
              <w:divBdr>
                <w:top w:val="single" w:sz="2" w:space="0" w:color="FFFFFF"/>
                <w:left w:val="single" w:sz="6" w:space="0" w:color="FFFFFF"/>
                <w:bottom w:val="single" w:sz="6" w:space="0" w:color="FFFFFF"/>
                <w:right w:val="single" w:sz="6" w:space="0" w:color="FFFFFF"/>
              </w:divBdr>
              <w:divsChild>
                <w:div w:id="1536385495">
                  <w:marLeft w:val="0"/>
                  <w:marRight w:val="0"/>
                  <w:marTop w:val="0"/>
                  <w:marBottom w:val="0"/>
                  <w:divBdr>
                    <w:top w:val="single" w:sz="6" w:space="1" w:color="D3D3D3"/>
                    <w:left w:val="none" w:sz="0" w:space="0" w:color="auto"/>
                    <w:bottom w:val="none" w:sz="0" w:space="0" w:color="auto"/>
                    <w:right w:val="none" w:sz="0" w:space="0" w:color="auto"/>
                  </w:divBdr>
                  <w:divsChild>
                    <w:div w:id="218827412">
                      <w:marLeft w:val="0"/>
                      <w:marRight w:val="0"/>
                      <w:marTop w:val="0"/>
                      <w:marBottom w:val="0"/>
                      <w:divBdr>
                        <w:top w:val="none" w:sz="0" w:space="0" w:color="auto"/>
                        <w:left w:val="none" w:sz="0" w:space="0" w:color="auto"/>
                        <w:bottom w:val="none" w:sz="0" w:space="0" w:color="auto"/>
                        <w:right w:val="none" w:sz="0" w:space="0" w:color="auto"/>
                      </w:divBdr>
                      <w:divsChild>
                        <w:div w:id="20259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1811">
      <w:bodyDiv w:val="1"/>
      <w:marLeft w:val="0"/>
      <w:marRight w:val="0"/>
      <w:marTop w:val="0"/>
      <w:marBottom w:val="0"/>
      <w:divBdr>
        <w:top w:val="none" w:sz="0" w:space="0" w:color="auto"/>
        <w:left w:val="none" w:sz="0" w:space="0" w:color="auto"/>
        <w:bottom w:val="none" w:sz="0" w:space="0" w:color="auto"/>
        <w:right w:val="none" w:sz="0" w:space="0" w:color="auto"/>
      </w:divBdr>
      <w:divsChild>
        <w:div w:id="1182821840">
          <w:marLeft w:val="0"/>
          <w:marRight w:val="0"/>
          <w:marTop w:val="0"/>
          <w:marBottom w:val="0"/>
          <w:divBdr>
            <w:top w:val="none" w:sz="0" w:space="0" w:color="auto"/>
            <w:left w:val="none" w:sz="0" w:space="0" w:color="auto"/>
            <w:bottom w:val="none" w:sz="0" w:space="0" w:color="auto"/>
            <w:right w:val="none" w:sz="0" w:space="0" w:color="auto"/>
          </w:divBdr>
          <w:divsChild>
            <w:div w:id="298922690">
              <w:marLeft w:val="0"/>
              <w:marRight w:val="0"/>
              <w:marTop w:val="0"/>
              <w:marBottom w:val="0"/>
              <w:divBdr>
                <w:top w:val="single" w:sz="2" w:space="0" w:color="FFFFFF"/>
                <w:left w:val="single" w:sz="6" w:space="0" w:color="FFFFFF"/>
                <w:bottom w:val="single" w:sz="6" w:space="0" w:color="FFFFFF"/>
                <w:right w:val="single" w:sz="6" w:space="0" w:color="FFFFFF"/>
              </w:divBdr>
              <w:divsChild>
                <w:div w:id="1673219842">
                  <w:marLeft w:val="0"/>
                  <w:marRight w:val="0"/>
                  <w:marTop w:val="0"/>
                  <w:marBottom w:val="0"/>
                  <w:divBdr>
                    <w:top w:val="single" w:sz="6" w:space="1" w:color="D3D3D3"/>
                    <w:left w:val="none" w:sz="0" w:space="0" w:color="auto"/>
                    <w:bottom w:val="none" w:sz="0" w:space="0" w:color="auto"/>
                    <w:right w:val="none" w:sz="0" w:space="0" w:color="auto"/>
                  </w:divBdr>
                  <w:divsChild>
                    <w:div w:id="1746489909">
                      <w:marLeft w:val="0"/>
                      <w:marRight w:val="0"/>
                      <w:marTop w:val="0"/>
                      <w:marBottom w:val="0"/>
                      <w:divBdr>
                        <w:top w:val="none" w:sz="0" w:space="0" w:color="auto"/>
                        <w:left w:val="none" w:sz="0" w:space="0" w:color="auto"/>
                        <w:bottom w:val="none" w:sz="0" w:space="0" w:color="auto"/>
                        <w:right w:val="none" w:sz="0" w:space="0" w:color="auto"/>
                      </w:divBdr>
                      <w:divsChild>
                        <w:div w:id="538277759">
                          <w:marLeft w:val="0"/>
                          <w:marRight w:val="0"/>
                          <w:marTop w:val="0"/>
                          <w:marBottom w:val="0"/>
                          <w:divBdr>
                            <w:top w:val="none" w:sz="0" w:space="0" w:color="auto"/>
                            <w:left w:val="none" w:sz="0" w:space="0" w:color="auto"/>
                            <w:bottom w:val="none" w:sz="0" w:space="0" w:color="auto"/>
                            <w:right w:val="none" w:sz="0" w:space="0" w:color="auto"/>
                          </w:divBdr>
                          <w:divsChild>
                            <w:div w:id="10356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238320">
      <w:bodyDiv w:val="1"/>
      <w:marLeft w:val="0"/>
      <w:marRight w:val="0"/>
      <w:marTop w:val="0"/>
      <w:marBottom w:val="0"/>
      <w:divBdr>
        <w:top w:val="none" w:sz="0" w:space="0" w:color="auto"/>
        <w:left w:val="none" w:sz="0" w:space="0" w:color="auto"/>
        <w:bottom w:val="none" w:sz="0" w:space="0" w:color="auto"/>
        <w:right w:val="none" w:sz="0" w:space="0" w:color="auto"/>
      </w:divBdr>
      <w:divsChild>
        <w:div w:id="554393653">
          <w:marLeft w:val="0"/>
          <w:marRight w:val="0"/>
          <w:marTop w:val="0"/>
          <w:marBottom w:val="0"/>
          <w:divBdr>
            <w:top w:val="none" w:sz="0" w:space="0" w:color="auto"/>
            <w:left w:val="none" w:sz="0" w:space="0" w:color="auto"/>
            <w:bottom w:val="none" w:sz="0" w:space="0" w:color="auto"/>
            <w:right w:val="none" w:sz="0" w:space="0" w:color="auto"/>
          </w:divBdr>
          <w:divsChild>
            <w:div w:id="864319881">
              <w:marLeft w:val="0"/>
              <w:marRight w:val="0"/>
              <w:marTop w:val="0"/>
              <w:marBottom w:val="0"/>
              <w:divBdr>
                <w:top w:val="single" w:sz="2" w:space="0" w:color="FFFFFF"/>
                <w:left w:val="single" w:sz="6" w:space="0" w:color="FFFFFF"/>
                <w:bottom w:val="single" w:sz="6" w:space="0" w:color="FFFFFF"/>
                <w:right w:val="single" w:sz="6" w:space="0" w:color="FFFFFF"/>
              </w:divBdr>
              <w:divsChild>
                <w:div w:id="1526013962">
                  <w:marLeft w:val="0"/>
                  <w:marRight w:val="0"/>
                  <w:marTop w:val="0"/>
                  <w:marBottom w:val="0"/>
                  <w:divBdr>
                    <w:top w:val="single" w:sz="6" w:space="1" w:color="D3D3D3"/>
                    <w:left w:val="none" w:sz="0" w:space="0" w:color="auto"/>
                    <w:bottom w:val="none" w:sz="0" w:space="0" w:color="auto"/>
                    <w:right w:val="none" w:sz="0" w:space="0" w:color="auto"/>
                  </w:divBdr>
                  <w:divsChild>
                    <w:div w:id="913658801">
                      <w:marLeft w:val="0"/>
                      <w:marRight w:val="0"/>
                      <w:marTop w:val="0"/>
                      <w:marBottom w:val="0"/>
                      <w:divBdr>
                        <w:top w:val="none" w:sz="0" w:space="0" w:color="auto"/>
                        <w:left w:val="none" w:sz="0" w:space="0" w:color="auto"/>
                        <w:bottom w:val="none" w:sz="0" w:space="0" w:color="auto"/>
                        <w:right w:val="none" w:sz="0" w:space="0" w:color="auto"/>
                      </w:divBdr>
                      <w:divsChild>
                        <w:div w:id="159859758">
                          <w:marLeft w:val="0"/>
                          <w:marRight w:val="0"/>
                          <w:marTop w:val="0"/>
                          <w:marBottom w:val="0"/>
                          <w:divBdr>
                            <w:top w:val="none" w:sz="0" w:space="0" w:color="auto"/>
                            <w:left w:val="none" w:sz="0" w:space="0" w:color="auto"/>
                            <w:bottom w:val="none" w:sz="0" w:space="0" w:color="auto"/>
                            <w:right w:val="none" w:sz="0" w:space="0" w:color="auto"/>
                          </w:divBdr>
                          <w:divsChild>
                            <w:div w:id="643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EF76-DEF7-4DD1-9285-9DFE76DA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6939D6B3</Template>
  <TotalTime>0</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Haran</dc:creator>
  <cp:lastModifiedBy>Haran, Mike</cp:lastModifiedBy>
  <cp:revision>2</cp:revision>
  <dcterms:created xsi:type="dcterms:W3CDTF">2019-04-26T12:22:00Z</dcterms:created>
  <dcterms:modified xsi:type="dcterms:W3CDTF">2019-04-26T12:22:00Z</dcterms:modified>
</cp:coreProperties>
</file>