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5F" w:rsidRPr="005B3D5F" w:rsidRDefault="005B3D5F">
      <w:pPr>
        <w:rPr>
          <w:rFonts w:ascii="Times New Roman" w:hAnsi="Times New Roman" w:cs="Times New Roman"/>
          <w:b/>
          <w:sz w:val="24"/>
          <w:szCs w:val="24"/>
        </w:rPr>
      </w:pPr>
      <w:r w:rsidRPr="005B3D5F">
        <w:rPr>
          <w:rFonts w:ascii="Times New Roman" w:hAnsi="Times New Roman" w:cs="Times New Roman"/>
          <w:b/>
          <w:sz w:val="24"/>
          <w:szCs w:val="24"/>
        </w:rPr>
        <w:t xml:space="preserve">PROPORTION OF SANCTIONED UNIVERSAL CREDIT CLAIMANTS </w:t>
      </w:r>
    </w:p>
    <w:p w:rsidR="00883B2D" w:rsidRPr="005B3D5F" w:rsidRDefault="005B3D5F">
      <w:pPr>
        <w:rPr>
          <w:rFonts w:ascii="Times New Roman" w:hAnsi="Times New Roman" w:cs="Times New Roman"/>
          <w:b/>
          <w:sz w:val="24"/>
          <w:szCs w:val="24"/>
        </w:rPr>
      </w:pPr>
      <w:r w:rsidRPr="005B3D5F">
        <w:rPr>
          <w:rFonts w:ascii="Times New Roman" w:hAnsi="Times New Roman" w:cs="Times New Roman"/>
          <w:b/>
          <w:sz w:val="24"/>
          <w:szCs w:val="24"/>
        </w:rPr>
        <w:t>RECEIVING A HARDSHIP PAYMENT</w:t>
      </w:r>
    </w:p>
    <w:p w:rsidR="005B3D5F" w:rsidRPr="005B3D5F" w:rsidRDefault="005B3D5F">
      <w:pPr>
        <w:rPr>
          <w:rFonts w:ascii="Times New Roman" w:hAnsi="Times New Roman" w:cs="Times New Roman"/>
          <w:b/>
          <w:sz w:val="24"/>
          <w:szCs w:val="24"/>
        </w:rPr>
      </w:pPr>
    </w:p>
    <w:p w:rsidR="005B3D5F" w:rsidRPr="005B3D5F" w:rsidRDefault="005B3D5F">
      <w:pPr>
        <w:rPr>
          <w:rFonts w:ascii="Times New Roman" w:hAnsi="Times New Roman" w:cs="Times New Roman"/>
          <w:sz w:val="24"/>
          <w:szCs w:val="24"/>
        </w:rPr>
      </w:pPr>
      <w:r w:rsidRPr="005B3D5F">
        <w:rPr>
          <w:rFonts w:ascii="Times New Roman" w:hAnsi="Times New Roman" w:cs="Times New Roman"/>
          <w:b/>
          <w:sz w:val="24"/>
          <w:szCs w:val="24"/>
        </w:rPr>
        <w:t>David Webster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3F5E">
        <w:rPr>
          <w:rFonts w:ascii="Times New Roman" w:hAnsi="Times New Roman" w:cs="Times New Roman"/>
          <w:sz w:val="24"/>
          <w:szCs w:val="24"/>
        </w:rPr>
        <w:t>8</w:t>
      </w:r>
      <w:r w:rsidR="000D4CAA">
        <w:rPr>
          <w:rFonts w:ascii="Times New Roman" w:hAnsi="Times New Roman" w:cs="Times New Roman"/>
          <w:sz w:val="24"/>
          <w:szCs w:val="24"/>
        </w:rPr>
        <w:t xml:space="preserve"> July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B3D5F" w:rsidRPr="005B3D5F" w:rsidRDefault="005B3D5F">
      <w:pPr>
        <w:rPr>
          <w:rFonts w:ascii="Times New Roman" w:hAnsi="Times New Roman" w:cs="Times New Roman"/>
          <w:sz w:val="24"/>
          <w:szCs w:val="24"/>
        </w:rPr>
      </w:pPr>
    </w:p>
    <w:p w:rsidR="005B3D5F" w:rsidRDefault="005B3D5F">
      <w:pPr>
        <w:rPr>
          <w:rFonts w:ascii="Times New Roman" w:hAnsi="Times New Roman" w:cs="Times New Roman"/>
          <w:sz w:val="24"/>
          <w:szCs w:val="24"/>
        </w:rPr>
      </w:pPr>
    </w:p>
    <w:p w:rsidR="000D4CAA" w:rsidRDefault="000D4CAA">
      <w:pPr>
        <w:rPr>
          <w:rFonts w:ascii="Times New Roman" w:hAnsi="Times New Roman" w:cs="Times New Roman"/>
          <w:sz w:val="24"/>
          <w:szCs w:val="24"/>
        </w:rPr>
        <w:sectPr w:rsidR="000D4CAA" w:rsidSect="000D4CAA"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It is now possible to calculate what proportion of sanctioned Universal Credit claimants are receiving a ‘hardship payment’, i.e. a loan equal to 60% of the benefit otherwise due, paid if the claimant can show they are otherwise destitute. The figures</w:t>
      </w:r>
      <w:r w:rsidR="003069F4">
        <w:rPr>
          <w:rFonts w:ascii="Times New Roman" w:hAnsi="Times New Roman" w:cs="Times New Roman"/>
          <w:sz w:val="24"/>
          <w:szCs w:val="24"/>
        </w:rPr>
        <w:t>, which relate to UC Full Service,</w:t>
      </w:r>
      <w:r>
        <w:rPr>
          <w:rFonts w:ascii="Times New Roman" w:hAnsi="Times New Roman" w:cs="Times New Roman"/>
          <w:sz w:val="24"/>
          <w:szCs w:val="24"/>
        </w:rPr>
        <w:t xml:space="preserve"> are shown in the </w:t>
      </w:r>
      <w:r w:rsidRPr="003951E2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8F3FF0" w:rsidRPr="008F3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FF0" w:rsidRDefault="008F3FF0">
      <w:pPr>
        <w:rPr>
          <w:rFonts w:ascii="Times New Roman" w:hAnsi="Times New Roman" w:cs="Times New Roman"/>
          <w:sz w:val="24"/>
          <w:szCs w:val="24"/>
        </w:rPr>
      </w:pPr>
    </w:p>
    <w:p w:rsidR="00DA2551" w:rsidRDefault="000D4CAA">
      <w:pPr>
        <w:rPr>
          <w:rFonts w:ascii="Times New Roman" w:hAnsi="Times New Roman" w:cs="Times New Roman"/>
          <w:sz w:val="24"/>
          <w:szCs w:val="24"/>
        </w:rPr>
        <w:sectPr w:rsidR="00DA2551" w:rsidSect="000D4CAA"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F3FF0">
        <w:rPr>
          <w:rFonts w:ascii="Times New Roman" w:hAnsi="Times New Roman" w:cs="Times New Roman"/>
          <w:sz w:val="24"/>
          <w:szCs w:val="24"/>
        </w:rPr>
        <w:t xml:space="preserve">rom about 10% at spring 2017 the percentage had risen only to 17% by August 2018. </w:t>
      </w:r>
      <w:r w:rsidR="008F3FF0" w:rsidRPr="008F3FF0">
        <w:rPr>
          <w:rFonts w:ascii="Times New Roman" w:hAnsi="Times New Roman" w:cs="Times New Roman"/>
          <w:sz w:val="24"/>
          <w:szCs w:val="24"/>
        </w:rPr>
        <w:t>With unemployed claimants accounting for 80%-90% of UC claimants subject to conditionality</w:t>
      </w:r>
      <w:r w:rsidR="004A63E2">
        <w:rPr>
          <w:rFonts w:ascii="Times New Roman" w:hAnsi="Times New Roman" w:cs="Times New Roman"/>
          <w:sz w:val="24"/>
          <w:szCs w:val="24"/>
        </w:rPr>
        <w:t xml:space="preserve"> (as shown by Stat-Xplore)</w:t>
      </w:r>
      <w:r w:rsidR="008F3FF0" w:rsidRPr="008F3FF0">
        <w:rPr>
          <w:rFonts w:ascii="Times New Roman" w:hAnsi="Times New Roman" w:cs="Times New Roman"/>
          <w:sz w:val="24"/>
          <w:szCs w:val="24"/>
        </w:rPr>
        <w:t xml:space="preserve">, </w:t>
      </w:r>
      <w:r w:rsidR="008F3FF0">
        <w:rPr>
          <w:rFonts w:ascii="Times New Roman" w:hAnsi="Times New Roman" w:cs="Times New Roman"/>
          <w:sz w:val="24"/>
          <w:szCs w:val="24"/>
        </w:rPr>
        <w:t xml:space="preserve">it </w:t>
      </w:r>
      <w:r w:rsidR="008F3FF0" w:rsidRPr="008F3FF0">
        <w:rPr>
          <w:rFonts w:ascii="Times New Roman" w:hAnsi="Times New Roman" w:cs="Times New Roman"/>
          <w:sz w:val="24"/>
          <w:szCs w:val="24"/>
        </w:rPr>
        <w:t xml:space="preserve">would </w:t>
      </w:r>
      <w:r w:rsidR="008F3FF0">
        <w:rPr>
          <w:rFonts w:ascii="Times New Roman" w:hAnsi="Times New Roman" w:cs="Times New Roman"/>
          <w:sz w:val="24"/>
          <w:szCs w:val="24"/>
        </w:rPr>
        <w:t xml:space="preserve">be </w:t>
      </w:r>
      <w:r w:rsidR="008F3FF0" w:rsidRPr="008F3FF0">
        <w:rPr>
          <w:rFonts w:ascii="Times New Roman" w:hAnsi="Times New Roman" w:cs="Times New Roman"/>
          <w:sz w:val="24"/>
          <w:szCs w:val="24"/>
        </w:rPr>
        <w:t>expect</w:t>
      </w:r>
      <w:r w:rsidR="008F3FF0">
        <w:rPr>
          <w:rFonts w:ascii="Times New Roman" w:hAnsi="Times New Roman" w:cs="Times New Roman"/>
          <w:sz w:val="24"/>
          <w:szCs w:val="24"/>
        </w:rPr>
        <w:t>ed</w:t>
      </w:r>
      <w:r w:rsidR="008F3FF0" w:rsidRPr="008F3FF0">
        <w:rPr>
          <w:rFonts w:ascii="Times New Roman" w:hAnsi="Times New Roman" w:cs="Times New Roman"/>
          <w:sz w:val="24"/>
          <w:szCs w:val="24"/>
        </w:rPr>
        <w:t xml:space="preserve"> </w:t>
      </w:r>
      <w:r w:rsidR="008F3FF0">
        <w:rPr>
          <w:rFonts w:ascii="Times New Roman" w:hAnsi="Times New Roman" w:cs="Times New Roman"/>
          <w:sz w:val="24"/>
          <w:szCs w:val="24"/>
        </w:rPr>
        <w:t xml:space="preserve">that </w:t>
      </w:r>
      <w:r w:rsidR="008F3FF0" w:rsidRPr="008F3FF0">
        <w:rPr>
          <w:rFonts w:ascii="Times New Roman" w:hAnsi="Times New Roman" w:cs="Times New Roman"/>
          <w:sz w:val="24"/>
          <w:szCs w:val="24"/>
        </w:rPr>
        <w:t xml:space="preserve">the percentage of sanctioned UC claimants getting hardship payments </w:t>
      </w:r>
      <w:r w:rsidR="00DA2551">
        <w:rPr>
          <w:rFonts w:ascii="Times New Roman" w:hAnsi="Times New Roman" w:cs="Times New Roman"/>
          <w:sz w:val="24"/>
          <w:szCs w:val="24"/>
        </w:rPr>
        <w:t>would</w:t>
      </w:r>
      <w:r w:rsidR="008F3FF0" w:rsidRPr="008F3FF0">
        <w:rPr>
          <w:rFonts w:ascii="Times New Roman" w:hAnsi="Times New Roman" w:cs="Times New Roman"/>
          <w:sz w:val="24"/>
          <w:szCs w:val="24"/>
        </w:rPr>
        <w:t xml:space="preserve"> be close to that seen for JSA claimants</w:t>
      </w:r>
      <w:r w:rsidR="008F3FF0">
        <w:rPr>
          <w:rFonts w:ascii="Times New Roman" w:hAnsi="Times New Roman" w:cs="Times New Roman"/>
          <w:sz w:val="24"/>
          <w:szCs w:val="24"/>
        </w:rPr>
        <w:t xml:space="preserve">. </w:t>
      </w:r>
      <w:r w:rsidR="00973F5E">
        <w:rPr>
          <w:rFonts w:ascii="Times New Roman" w:hAnsi="Times New Roman" w:cs="Times New Roman"/>
          <w:sz w:val="24"/>
          <w:szCs w:val="24"/>
        </w:rPr>
        <w:t xml:space="preserve">But it is much lower. </w:t>
      </w:r>
      <w:r w:rsidR="00DA2551">
        <w:rPr>
          <w:rFonts w:ascii="Times New Roman" w:hAnsi="Times New Roman" w:cs="Times New Roman"/>
          <w:sz w:val="24"/>
          <w:szCs w:val="24"/>
        </w:rPr>
        <w:t>According to the available figures, t</w:t>
      </w:r>
      <w:r w:rsidR="00AB72E0">
        <w:rPr>
          <w:rFonts w:ascii="Times New Roman" w:hAnsi="Times New Roman" w:cs="Times New Roman"/>
          <w:sz w:val="24"/>
          <w:szCs w:val="24"/>
        </w:rPr>
        <w:t xml:space="preserve">he percentage for JSA </w:t>
      </w:r>
      <w:r w:rsidR="00DA2551">
        <w:rPr>
          <w:rFonts w:ascii="Times New Roman" w:hAnsi="Times New Roman" w:cs="Times New Roman"/>
          <w:sz w:val="24"/>
          <w:szCs w:val="24"/>
        </w:rPr>
        <w:t>i</w:t>
      </w:r>
      <w:r w:rsidR="00AB72E0">
        <w:rPr>
          <w:rFonts w:ascii="Times New Roman" w:hAnsi="Times New Roman" w:cs="Times New Roman"/>
          <w:sz w:val="24"/>
          <w:szCs w:val="24"/>
        </w:rPr>
        <w:t>s around 45% and for ESA just under 20%.</w:t>
      </w:r>
      <w:r w:rsidR="00DA2551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</w:p>
    <w:p w:rsidR="00AB72E0" w:rsidRDefault="00AB72E0">
      <w:pPr>
        <w:rPr>
          <w:rFonts w:ascii="Times New Roman" w:hAnsi="Times New Roman" w:cs="Times New Roman"/>
          <w:sz w:val="24"/>
          <w:szCs w:val="24"/>
        </w:rPr>
      </w:pPr>
    </w:p>
    <w:p w:rsidR="00AB72E0" w:rsidRDefault="00AB72E0">
      <w:pPr>
        <w:rPr>
          <w:rFonts w:ascii="Times New Roman" w:hAnsi="Times New Roman" w:cs="Times New Roman"/>
          <w:sz w:val="24"/>
          <w:szCs w:val="24"/>
        </w:rPr>
      </w:pPr>
      <w:r w:rsidRPr="003951E2">
        <w:rPr>
          <w:rFonts w:ascii="Times New Roman" w:hAnsi="Times New Roman" w:cs="Times New Roman"/>
          <w:b/>
          <w:sz w:val="24"/>
          <w:szCs w:val="24"/>
        </w:rPr>
        <w:t>Figure</w:t>
      </w:r>
      <w:r w:rsidR="0080669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A2551">
        <w:rPr>
          <w:rFonts w:ascii="Times New Roman" w:hAnsi="Times New Roman" w:cs="Times New Roman"/>
          <w:sz w:val="24"/>
          <w:szCs w:val="24"/>
        </w:rPr>
        <w:t xml:space="preserve"> compares the proportions for UC, JSA and ESA</w:t>
      </w:r>
      <w:r>
        <w:rPr>
          <w:rFonts w:ascii="Times New Roman" w:hAnsi="Times New Roman" w:cs="Times New Roman"/>
          <w:sz w:val="24"/>
          <w:szCs w:val="24"/>
        </w:rPr>
        <w:t>. It will be seen that the proportion of UC claimants getting hardship payments is far below that for JSA and even below the ESA percentage.</w:t>
      </w:r>
    </w:p>
    <w:p w:rsidR="00AB72E0" w:rsidRDefault="00AB72E0">
      <w:pPr>
        <w:rPr>
          <w:rFonts w:ascii="Times New Roman" w:hAnsi="Times New Roman" w:cs="Times New Roman"/>
          <w:sz w:val="24"/>
          <w:szCs w:val="24"/>
        </w:rPr>
      </w:pPr>
    </w:p>
    <w:p w:rsidR="00AB72E0" w:rsidRDefault="00AB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65D24">
        <w:rPr>
          <w:rFonts w:ascii="Times New Roman" w:hAnsi="Times New Roman" w:cs="Times New Roman"/>
          <w:sz w:val="24"/>
          <w:szCs w:val="24"/>
        </w:rPr>
        <w:t>re are probably two main contributory factors. The</w:t>
      </w:r>
      <w:r>
        <w:rPr>
          <w:rFonts w:ascii="Times New Roman" w:hAnsi="Times New Roman" w:cs="Times New Roman"/>
          <w:sz w:val="24"/>
          <w:szCs w:val="24"/>
        </w:rPr>
        <w:t xml:space="preserve"> most </w:t>
      </w:r>
      <w:r w:rsidR="00365D24">
        <w:rPr>
          <w:rFonts w:ascii="Times New Roman" w:hAnsi="Times New Roman" w:cs="Times New Roman"/>
          <w:sz w:val="24"/>
          <w:szCs w:val="24"/>
        </w:rPr>
        <w:t xml:space="preserve">important </w:t>
      </w:r>
      <w:r>
        <w:rPr>
          <w:rFonts w:ascii="Times New Roman" w:hAnsi="Times New Roman" w:cs="Times New Roman"/>
          <w:sz w:val="24"/>
          <w:szCs w:val="24"/>
        </w:rPr>
        <w:t>is the fact that, unlike JSA or ESA, UC makes hardship payments repayable, currently at the rate of 40% of benefit otherwise payable (to be reduced to 30% in October 2019). UC already has a number of other features which put claimants into debt, in particular the 5-week wait for the first payment, the much higher rates at which other debts are deducted</w:t>
      </w:r>
      <w:r w:rsidR="003951E2">
        <w:rPr>
          <w:rFonts w:ascii="Times New Roman" w:hAnsi="Times New Roman" w:cs="Times New Roman"/>
          <w:sz w:val="24"/>
          <w:szCs w:val="24"/>
        </w:rPr>
        <w:t xml:space="preserve">, increased penalties for lone parents of young children, and </w:t>
      </w:r>
      <w:r w:rsidR="00365D24">
        <w:rPr>
          <w:rFonts w:ascii="Times New Roman" w:hAnsi="Times New Roman" w:cs="Times New Roman"/>
          <w:sz w:val="24"/>
          <w:szCs w:val="24"/>
        </w:rPr>
        <w:t xml:space="preserve">retrospective reimbursement of </w:t>
      </w:r>
      <w:r w:rsidR="003951E2">
        <w:rPr>
          <w:rFonts w:ascii="Times New Roman" w:hAnsi="Times New Roman" w:cs="Times New Roman"/>
          <w:sz w:val="24"/>
          <w:szCs w:val="24"/>
        </w:rPr>
        <w:t>up-front payments for childcare. This accumulation of debt is likely to make claimants reluctant to claim hardship payments and to try to do without.</w:t>
      </w:r>
      <w:r w:rsidR="00365D24">
        <w:rPr>
          <w:rFonts w:ascii="Times New Roman" w:hAnsi="Times New Roman" w:cs="Times New Roman"/>
          <w:sz w:val="24"/>
          <w:szCs w:val="24"/>
        </w:rPr>
        <w:t xml:space="preserve"> The other factor is that under JSA and ESA, a hardship award once made applies for the rest of the sanction period, whereas under UC, the claim for a hardship payment has to be renewed for each month. The time, expense and uncertainty involved will act as a deterrent to claiming</w:t>
      </w:r>
      <w:r w:rsidR="00973F5E">
        <w:rPr>
          <w:rFonts w:ascii="Times New Roman" w:hAnsi="Times New Roman" w:cs="Times New Roman"/>
          <w:sz w:val="24"/>
          <w:szCs w:val="24"/>
        </w:rPr>
        <w:t>. T</w:t>
      </w:r>
      <w:r w:rsidR="00DA2551">
        <w:rPr>
          <w:rFonts w:ascii="Times New Roman" w:hAnsi="Times New Roman" w:cs="Times New Roman"/>
          <w:sz w:val="24"/>
          <w:szCs w:val="24"/>
        </w:rPr>
        <w:t>his is well known from</w:t>
      </w:r>
      <w:r w:rsidR="00973F5E">
        <w:rPr>
          <w:rFonts w:ascii="Times New Roman" w:hAnsi="Times New Roman" w:cs="Times New Roman"/>
          <w:sz w:val="24"/>
          <w:szCs w:val="24"/>
        </w:rPr>
        <w:t xml:space="preserve"> experience with other benefits</w:t>
      </w:r>
      <w:r w:rsidR="00365D24">
        <w:rPr>
          <w:rFonts w:ascii="Times New Roman" w:hAnsi="Times New Roman" w:cs="Times New Roman"/>
          <w:sz w:val="24"/>
          <w:szCs w:val="24"/>
        </w:rPr>
        <w:t>.</w:t>
      </w:r>
    </w:p>
    <w:p w:rsidR="00365D24" w:rsidRDefault="00365D24">
      <w:pPr>
        <w:rPr>
          <w:rFonts w:ascii="Times New Roman" w:hAnsi="Times New Roman" w:cs="Times New Roman"/>
          <w:sz w:val="24"/>
          <w:szCs w:val="24"/>
        </w:rPr>
      </w:pPr>
    </w:p>
    <w:p w:rsidR="00365D24" w:rsidRDefault="00706649" w:rsidP="002C3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C33E1">
        <w:rPr>
          <w:rFonts w:ascii="Times New Roman" w:hAnsi="Times New Roman" w:cs="Times New Roman"/>
          <w:sz w:val="24"/>
          <w:szCs w:val="24"/>
        </w:rPr>
        <w:t>nder UC (Universal Credit Regulation</w:t>
      </w:r>
      <w:r w:rsidR="00DA2551">
        <w:rPr>
          <w:rFonts w:ascii="Times New Roman" w:hAnsi="Times New Roman" w:cs="Times New Roman"/>
          <w:sz w:val="24"/>
          <w:szCs w:val="24"/>
        </w:rPr>
        <w:t>s 2013, Reg.</w:t>
      </w:r>
      <w:r w:rsidR="002C33E1">
        <w:rPr>
          <w:rFonts w:ascii="Times New Roman" w:hAnsi="Times New Roman" w:cs="Times New Roman"/>
          <w:sz w:val="24"/>
          <w:szCs w:val="24"/>
        </w:rPr>
        <w:t xml:space="preserve">116), there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2C33E1">
        <w:rPr>
          <w:rFonts w:ascii="Times New Roman" w:hAnsi="Times New Roman" w:cs="Times New Roman"/>
          <w:sz w:val="24"/>
          <w:szCs w:val="24"/>
        </w:rPr>
        <w:t>more explicit restrictions on the award of hardship payments</w:t>
      </w:r>
      <w:r>
        <w:rPr>
          <w:rFonts w:ascii="Times New Roman" w:hAnsi="Times New Roman" w:cs="Times New Roman"/>
          <w:sz w:val="24"/>
          <w:szCs w:val="24"/>
        </w:rPr>
        <w:t>, and this may be having an effect</w:t>
      </w:r>
      <w:r w:rsidR="002C33E1">
        <w:rPr>
          <w:rFonts w:ascii="Times New Roman" w:hAnsi="Times New Roman" w:cs="Times New Roman"/>
          <w:sz w:val="24"/>
          <w:szCs w:val="24"/>
        </w:rPr>
        <w:t>. Only four ‘immediate and most basic and essential needs’</w:t>
      </w:r>
      <w:r w:rsidR="00973F5E" w:rsidRPr="00973F5E">
        <w:rPr>
          <w:rFonts w:ascii="Times New Roman" w:hAnsi="Times New Roman" w:cs="Times New Roman"/>
          <w:sz w:val="24"/>
          <w:szCs w:val="24"/>
        </w:rPr>
        <w:t xml:space="preserve"> </w:t>
      </w:r>
      <w:r w:rsidR="00973F5E">
        <w:rPr>
          <w:rFonts w:ascii="Times New Roman" w:hAnsi="Times New Roman" w:cs="Times New Roman"/>
          <w:sz w:val="24"/>
          <w:szCs w:val="24"/>
        </w:rPr>
        <w:t>can be met through a UC hardship payment</w:t>
      </w:r>
      <w:r w:rsidR="002C33E1">
        <w:rPr>
          <w:rFonts w:ascii="Times New Roman" w:hAnsi="Times New Roman" w:cs="Times New Roman"/>
          <w:sz w:val="24"/>
          <w:szCs w:val="24"/>
        </w:rPr>
        <w:t xml:space="preserve">, </w:t>
      </w:r>
      <w:r w:rsidR="00973F5E">
        <w:rPr>
          <w:rFonts w:ascii="Times New Roman" w:hAnsi="Times New Roman" w:cs="Times New Roman"/>
          <w:sz w:val="24"/>
          <w:szCs w:val="24"/>
        </w:rPr>
        <w:t xml:space="preserve">namely </w:t>
      </w:r>
      <w:r w:rsidR="002C33E1">
        <w:rPr>
          <w:rFonts w:ascii="Times New Roman" w:hAnsi="Times New Roman" w:cs="Times New Roman"/>
          <w:sz w:val="24"/>
          <w:szCs w:val="24"/>
        </w:rPr>
        <w:t xml:space="preserve">for </w:t>
      </w:r>
      <w:r w:rsidR="002C33E1" w:rsidRPr="002C33E1">
        <w:rPr>
          <w:rFonts w:ascii="Times New Roman" w:hAnsi="Times New Roman" w:cs="Times New Roman"/>
          <w:sz w:val="24"/>
          <w:szCs w:val="24"/>
        </w:rPr>
        <w:t>accommodation</w:t>
      </w:r>
      <w:r w:rsidR="002C33E1">
        <w:rPr>
          <w:rFonts w:ascii="Times New Roman" w:hAnsi="Times New Roman" w:cs="Times New Roman"/>
          <w:sz w:val="24"/>
          <w:szCs w:val="24"/>
        </w:rPr>
        <w:t xml:space="preserve">, heating, food and </w:t>
      </w:r>
      <w:r w:rsidR="002C33E1" w:rsidRPr="002C33E1">
        <w:rPr>
          <w:rFonts w:ascii="Times New Roman" w:hAnsi="Times New Roman" w:cs="Times New Roman"/>
          <w:sz w:val="24"/>
          <w:szCs w:val="24"/>
        </w:rPr>
        <w:t>hygiene</w:t>
      </w:r>
      <w:r w:rsidR="00973F5E">
        <w:rPr>
          <w:rFonts w:ascii="Times New Roman" w:hAnsi="Times New Roman" w:cs="Times New Roman"/>
          <w:sz w:val="24"/>
          <w:szCs w:val="24"/>
        </w:rPr>
        <w:t>.</w:t>
      </w:r>
      <w:r w:rsidR="002C33E1">
        <w:rPr>
          <w:rFonts w:ascii="Times New Roman" w:hAnsi="Times New Roman" w:cs="Times New Roman"/>
          <w:sz w:val="24"/>
          <w:szCs w:val="24"/>
        </w:rPr>
        <w:t xml:space="preserve"> The claimant also has to demonstrate that they have sought alternative sources of support, and ceased any expenditure not relating to the four needs. </w:t>
      </w:r>
      <w:r w:rsidR="006B3DB6">
        <w:rPr>
          <w:rFonts w:ascii="Times New Roman" w:hAnsi="Times New Roman" w:cs="Times New Roman"/>
          <w:sz w:val="24"/>
          <w:szCs w:val="24"/>
        </w:rPr>
        <w:t>They also have to demonstrate compliance with all requirements for a period of seven days before being allowed to apply, and this can be difficult.</w:t>
      </w:r>
    </w:p>
    <w:p w:rsidR="00AB72E0" w:rsidRDefault="00AB72E0">
      <w:pPr>
        <w:rPr>
          <w:rFonts w:ascii="Times New Roman" w:hAnsi="Times New Roman" w:cs="Times New Roman"/>
          <w:sz w:val="24"/>
          <w:szCs w:val="24"/>
        </w:rPr>
      </w:pPr>
    </w:p>
    <w:p w:rsidR="00973F5E" w:rsidRDefault="003951E2">
      <w:pPr>
        <w:rPr>
          <w:rFonts w:ascii="Times New Roman" w:hAnsi="Times New Roman" w:cs="Times New Roman"/>
          <w:sz w:val="24"/>
          <w:szCs w:val="24"/>
        </w:rPr>
      </w:pPr>
      <w:r w:rsidRPr="00DA2551">
        <w:rPr>
          <w:rFonts w:ascii="Times New Roman" w:hAnsi="Times New Roman" w:cs="Times New Roman"/>
          <w:b/>
          <w:sz w:val="24"/>
          <w:szCs w:val="24"/>
        </w:rPr>
        <w:t>Th</w:t>
      </w:r>
      <w:r w:rsidR="006B3DB6" w:rsidRPr="00DA2551">
        <w:rPr>
          <w:rFonts w:ascii="Times New Roman" w:hAnsi="Times New Roman" w:cs="Times New Roman"/>
          <w:b/>
          <w:sz w:val="24"/>
          <w:szCs w:val="24"/>
        </w:rPr>
        <w:t xml:space="preserve">e upshot </w:t>
      </w:r>
      <w:r w:rsidRPr="00DA2551">
        <w:rPr>
          <w:rFonts w:ascii="Times New Roman" w:hAnsi="Times New Roman" w:cs="Times New Roman"/>
          <w:b/>
          <w:sz w:val="24"/>
          <w:szCs w:val="24"/>
        </w:rPr>
        <w:t xml:space="preserve">is that many sanctioned claimants (probably a majority) under UC </w:t>
      </w:r>
      <w:proofErr w:type="gramStart"/>
      <w:r w:rsidRPr="00DA2551">
        <w:rPr>
          <w:rFonts w:ascii="Times New Roman" w:hAnsi="Times New Roman" w:cs="Times New Roman"/>
          <w:b/>
          <w:sz w:val="24"/>
          <w:szCs w:val="24"/>
        </w:rPr>
        <w:t>are having</w:t>
      </w:r>
      <w:proofErr w:type="gramEnd"/>
      <w:r w:rsidRPr="00DA2551">
        <w:rPr>
          <w:rFonts w:ascii="Times New Roman" w:hAnsi="Times New Roman" w:cs="Times New Roman"/>
          <w:b/>
          <w:sz w:val="24"/>
          <w:szCs w:val="24"/>
        </w:rPr>
        <w:t xml:space="preserve"> to live on even lower (often zero) incomes than they did </w:t>
      </w:r>
      <w:r w:rsidR="00DA2551" w:rsidRPr="00DA2551">
        <w:rPr>
          <w:rFonts w:ascii="Times New Roman" w:hAnsi="Times New Roman" w:cs="Times New Roman"/>
          <w:b/>
          <w:sz w:val="24"/>
          <w:szCs w:val="24"/>
        </w:rPr>
        <w:t>under</w:t>
      </w:r>
      <w:r w:rsidRPr="00DA2551">
        <w:rPr>
          <w:rFonts w:ascii="Times New Roman" w:hAnsi="Times New Roman" w:cs="Times New Roman"/>
          <w:b/>
          <w:sz w:val="24"/>
          <w:szCs w:val="24"/>
        </w:rPr>
        <w:t xml:space="preserve"> the previous sanctions regimes for JSA and ESA.</w:t>
      </w:r>
      <w:r w:rsidRPr="00395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5E" w:rsidRDefault="00973F5E">
      <w:pPr>
        <w:rPr>
          <w:rFonts w:ascii="Times New Roman" w:hAnsi="Times New Roman" w:cs="Times New Roman"/>
          <w:sz w:val="24"/>
          <w:szCs w:val="24"/>
        </w:rPr>
      </w:pPr>
    </w:p>
    <w:p w:rsidR="00344CD0" w:rsidRDefault="00973F5E" w:rsidP="00E05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 and Pensions Committee </w:t>
      </w:r>
      <w:r w:rsidR="0064793C">
        <w:rPr>
          <w:rFonts w:ascii="Times New Roman" w:hAnsi="Times New Roman" w:cs="Times New Roman"/>
          <w:sz w:val="24"/>
          <w:szCs w:val="24"/>
        </w:rPr>
        <w:t xml:space="preserve">(Nov. 2018) recommended that repayment of hardship payments should be reduced to an affordable level, with a default of 5%. The </w:t>
      </w:r>
      <w:r>
        <w:rPr>
          <w:rFonts w:ascii="Times New Roman" w:hAnsi="Times New Roman" w:cs="Times New Roman"/>
          <w:sz w:val="24"/>
          <w:szCs w:val="24"/>
        </w:rPr>
        <w:t xml:space="preserve">government response (11 February) </w:t>
      </w:r>
      <w:r w:rsidR="0064793C">
        <w:rPr>
          <w:rFonts w:ascii="Times New Roman" w:hAnsi="Times New Roman" w:cs="Times New Roman"/>
          <w:sz w:val="24"/>
          <w:szCs w:val="24"/>
        </w:rPr>
        <w:t>was intransigent</w:t>
      </w:r>
      <w:r w:rsidR="00E05EE0">
        <w:rPr>
          <w:rFonts w:ascii="Times New Roman" w:hAnsi="Times New Roman" w:cs="Times New Roman"/>
          <w:sz w:val="24"/>
          <w:szCs w:val="24"/>
        </w:rPr>
        <w:t>, It stated (para.92) that ‘</w:t>
      </w:r>
      <w:r w:rsidR="00E05EE0" w:rsidRPr="00E05EE0">
        <w:rPr>
          <w:rFonts w:ascii="Times New Roman" w:hAnsi="Times New Roman" w:cs="Times New Roman"/>
          <w:sz w:val="24"/>
          <w:szCs w:val="24"/>
        </w:rPr>
        <w:t>It is the Department’s view that if the rate of recoverability were lowered further to 5</w:t>
      </w:r>
      <w:r w:rsidR="00E05EE0">
        <w:rPr>
          <w:rFonts w:ascii="Times New Roman" w:hAnsi="Times New Roman" w:cs="Times New Roman"/>
          <w:sz w:val="24"/>
          <w:szCs w:val="24"/>
        </w:rPr>
        <w:t xml:space="preserve"> </w:t>
      </w:r>
      <w:r w:rsidR="00E05EE0" w:rsidRPr="00E05EE0">
        <w:rPr>
          <w:rFonts w:ascii="Times New Roman" w:hAnsi="Times New Roman" w:cs="Times New Roman"/>
          <w:sz w:val="24"/>
          <w:szCs w:val="24"/>
        </w:rPr>
        <w:t xml:space="preserve">per cent, the impact of sanctions on </w:t>
      </w:r>
      <w:r w:rsidR="00E05EE0" w:rsidRPr="00E05EE0">
        <w:rPr>
          <w:rFonts w:ascii="Times New Roman" w:hAnsi="Times New Roman" w:cs="Times New Roman"/>
          <w:sz w:val="24"/>
          <w:szCs w:val="24"/>
        </w:rPr>
        <w:lastRenderedPageBreak/>
        <w:t>claimants’ behaviour could be reduced. Recoverability</w:t>
      </w:r>
      <w:r w:rsidR="00E05EE0">
        <w:rPr>
          <w:rFonts w:ascii="Times New Roman" w:hAnsi="Times New Roman" w:cs="Times New Roman"/>
          <w:sz w:val="24"/>
          <w:szCs w:val="24"/>
        </w:rPr>
        <w:t xml:space="preserve"> </w:t>
      </w:r>
      <w:r w:rsidR="00E05EE0" w:rsidRPr="00E05EE0">
        <w:rPr>
          <w:rFonts w:ascii="Times New Roman" w:hAnsi="Times New Roman" w:cs="Times New Roman"/>
          <w:sz w:val="24"/>
          <w:szCs w:val="24"/>
        </w:rPr>
        <w:t>reinforces that meeting work-related requirements and working is always better – recovery</w:t>
      </w:r>
      <w:r w:rsidR="00E05EE0">
        <w:rPr>
          <w:rFonts w:ascii="Times New Roman" w:hAnsi="Times New Roman" w:cs="Times New Roman"/>
          <w:sz w:val="24"/>
          <w:szCs w:val="24"/>
        </w:rPr>
        <w:t xml:space="preserve"> </w:t>
      </w:r>
      <w:r w:rsidR="00E05EE0" w:rsidRPr="00E05EE0">
        <w:rPr>
          <w:rFonts w:ascii="Times New Roman" w:hAnsi="Times New Roman" w:cs="Times New Roman"/>
          <w:sz w:val="24"/>
          <w:szCs w:val="24"/>
        </w:rPr>
        <w:t>of hardship payments is suspended and ultimately written off once claimants work at</w:t>
      </w:r>
      <w:r w:rsidR="00E05EE0">
        <w:rPr>
          <w:rFonts w:ascii="Times New Roman" w:hAnsi="Times New Roman" w:cs="Times New Roman"/>
          <w:sz w:val="24"/>
          <w:szCs w:val="24"/>
        </w:rPr>
        <w:t xml:space="preserve"> </w:t>
      </w:r>
      <w:r w:rsidR="00E05EE0" w:rsidRPr="00E05EE0">
        <w:rPr>
          <w:rFonts w:ascii="Times New Roman" w:hAnsi="Times New Roman" w:cs="Times New Roman"/>
          <w:sz w:val="24"/>
          <w:szCs w:val="24"/>
        </w:rPr>
        <w:t>or above their Conditionality Earning Threshold for a certain period of time. Keeping a</w:t>
      </w:r>
      <w:r w:rsidR="00E05EE0">
        <w:rPr>
          <w:rFonts w:ascii="Times New Roman" w:hAnsi="Times New Roman" w:cs="Times New Roman"/>
          <w:sz w:val="24"/>
          <w:szCs w:val="24"/>
        </w:rPr>
        <w:t xml:space="preserve"> </w:t>
      </w:r>
      <w:r w:rsidR="00E05EE0" w:rsidRPr="00E05EE0">
        <w:rPr>
          <w:rFonts w:ascii="Times New Roman" w:hAnsi="Times New Roman" w:cs="Times New Roman"/>
          <w:sz w:val="24"/>
          <w:szCs w:val="24"/>
        </w:rPr>
        <w:t>noticeable rate of recovery of RHPs ensures that this continues to act as an incentive to</w:t>
      </w:r>
      <w:r w:rsidR="00E05EE0">
        <w:rPr>
          <w:rFonts w:ascii="Times New Roman" w:hAnsi="Times New Roman" w:cs="Times New Roman"/>
          <w:sz w:val="24"/>
          <w:szCs w:val="24"/>
        </w:rPr>
        <w:t xml:space="preserve"> </w:t>
      </w:r>
      <w:r w:rsidR="00E05EE0" w:rsidRPr="00E05EE0">
        <w:rPr>
          <w:rFonts w:ascii="Times New Roman" w:hAnsi="Times New Roman" w:cs="Times New Roman"/>
          <w:sz w:val="24"/>
          <w:szCs w:val="24"/>
        </w:rPr>
        <w:t>find work</w:t>
      </w:r>
      <w:r w:rsidR="0064793C">
        <w:rPr>
          <w:rFonts w:ascii="Times New Roman" w:hAnsi="Times New Roman" w:cs="Times New Roman"/>
          <w:sz w:val="24"/>
          <w:szCs w:val="24"/>
        </w:rPr>
        <w:t>.</w:t>
      </w:r>
      <w:r w:rsidR="00E05EE0">
        <w:rPr>
          <w:rFonts w:ascii="Times New Roman" w:hAnsi="Times New Roman" w:cs="Times New Roman"/>
          <w:sz w:val="24"/>
          <w:szCs w:val="24"/>
        </w:rPr>
        <w:t xml:space="preserve">’ A PQ by Stephen Timms </w:t>
      </w:r>
      <w:r w:rsidR="00D47F81">
        <w:rPr>
          <w:rFonts w:ascii="Times New Roman" w:hAnsi="Times New Roman" w:cs="Times New Roman"/>
          <w:sz w:val="24"/>
          <w:szCs w:val="24"/>
        </w:rPr>
        <w:t>(226487, 4 March 2019) revealed that the government does not know how many people have benefited from writing off.</w:t>
      </w:r>
      <w:r w:rsidR="00E0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FD" w:rsidRDefault="009160FD">
      <w:pPr>
        <w:rPr>
          <w:rFonts w:ascii="Times New Roman" w:hAnsi="Times New Roman" w:cs="Times New Roman"/>
          <w:sz w:val="24"/>
          <w:szCs w:val="24"/>
        </w:rPr>
      </w:pPr>
    </w:p>
    <w:p w:rsidR="009160FD" w:rsidRDefault="00916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rationale ever offered for making hardship payments repayable was given by </w:t>
      </w:r>
      <w:r w:rsidR="00E05EE0">
        <w:rPr>
          <w:rFonts w:ascii="Times New Roman" w:hAnsi="Times New Roman" w:cs="Times New Roman"/>
          <w:sz w:val="24"/>
          <w:szCs w:val="24"/>
        </w:rPr>
        <w:t xml:space="preserve">the minister </w:t>
      </w:r>
      <w:r>
        <w:rPr>
          <w:rFonts w:ascii="Times New Roman" w:hAnsi="Times New Roman" w:cs="Times New Roman"/>
          <w:sz w:val="24"/>
          <w:szCs w:val="24"/>
        </w:rPr>
        <w:t xml:space="preserve">Alok Sharma and Neil Couling in the Work &amp; Pensions Committee hearing of 27 June 2018 (Qu.278-283). It was that </w:t>
      </w:r>
      <w:r w:rsidR="00E05EE0">
        <w:rPr>
          <w:rFonts w:ascii="Times New Roman" w:hAnsi="Times New Roman" w:cs="Times New Roman"/>
          <w:sz w:val="24"/>
          <w:szCs w:val="24"/>
        </w:rPr>
        <w:t xml:space="preserve">it was thought unfair </w:t>
      </w:r>
      <w:r w:rsidR="00FD5D85">
        <w:rPr>
          <w:rFonts w:ascii="Times New Roman" w:hAnsi="Times New Roman" w:cs="Times New Roman"/>
          <w:sz w:val="24"/>
          <w:szCs w:val="24"/>
        </w:rPr>
        <w:t>that people who need hardship payments should get them when other</w:t>
      </w:r>
      <w:r w:rsidR="00E05EE0">
        <w:rPr>
          <w:rFonts w:ascii="Times New Roman" w:hAnsi="Times New Roman" w:cs="Times New Roman"/>
          <w:sz w:val="24"/>
          <w:szCs w:val="24"/>
        </w:rPr>
        <w:t xml:space="preserve"> people who d</w:t>
      </w:r>
      <w:r w:rsidR="00FD5D85">
        <w:rPr>
          <w:rFonts w:ascii="Times New Roman" w:hAnsi="Times New Roman" w:cs="Times New Roman"/>
          <w:sz w:val="24"/>
          <w:szCs w:val="24"/>
        </w:rPr>
        <w:t>o</w:t>
      </w:r>
      <w:r w:rsidR="00E05EE0">
        <w:rPr>
          <w:rFonts w:ascii="Times New Roman" w:hAnsi="Times New Roman" w:cs="Times New Roman"/>
          <w:sz w:val="24"/>
          <w:szCs w:val="24"/>
        </w:rPr>
        <w:t xml:space="preserve"> not need </w:t>
      </w:r>
      <w:r w:rsidR="00FD5D85">
        <w:rPr>
          <w:rFonts w:ascii="Times New Roman" w:hAnsi="Times New Roman" w:cs="Times New Roman"/>
          <w:sz w:val="24"/>
          <w:szCs w:val="24"/>
        </w:rPr>
        <w:t>them do not get them</w:t>
      </w:r>
      <w:r w:rsidR="00E05EE0">
        <w:rPr>
          <w:rFonts w:ascii="Times New Roman" w:hAnsi="Times New Roman" w:cs="Times New Roman"/>
          <w:sz w:val="24"/>
          <w:szCs w:val="24"/>
        </w:rPr>
        <w:t>.</w:t>
      </w:r>
      <w:r w:rsidR="00D47F81">
        <w:rPr>
          <w:rFonts w:ascii="Times New Roman" w:hAnsi="Times New Roman" w:cs="Times New Roman"/>
          <w:sz w:val="24"/>
          <w:szCs w:val="24"/>
        </w:rPr>
        <w:t xml:space="preserve"> T</w:t>
      </w:r>
      <w:r w:rsidR="00E05EE0">
        <w:rPr>
          <w:rFonts w:ascii="Times New Roman" w:hAnsi="Times New Roman" w:cs="Times New Roman"/>
          <w:sz w:val="24"/>
          <w:szCs w:val="24"/>
        </w:rPr>
        <w:t xml:space="preserve">his rationale would </w:t>
      </w:r>
      <w:r w:rsidR="00D47F81">
        <w:rPr>
          <w:rFonts w:ascii="Times New Roman" w:hAnsi="Times New Roman" w:cs="Times New Roman"/>
          <w:sz w:val="24"/>
          <w:szCs w:val="24"/>
        </w:rPr>
        <w:t xml:space="preserve">appear to </w:t>
      </w:r>
      <w:r w:rsidR="00E05EE0">
        <w:rPr>
          <w:rFonts w:ascii="Times New Roman" w:hAnsi="Times New Roman" w:cs="Times New Roman"/>
          <w:sz w:val="24"/>
          <w:szCs w:val="24"/>
        </w:rPr>
        <w:t xml:space="preserve">require all means-tested benefits to be repayable. </w:t>
      </w:r>
    </w:p>
    <w:p w:rsidR="00E05EE0" w:rsidRDefault="00E05EE0">
      <w:pPr>
        <w:rPr>
          <w:rFonts w:ascii="Times New Roman" w:hAnsi="Times New Roman" w:cs="Times New Roman"/>
          <w:sz w:val="24"/>
          <w:szCs w:val="24"/>
        </w:rPr>
      </w:pPr>
    </w:p>
    <w:p w:rsidR="005B3D5F" w:rsidRDefault="00344CD0">
      <w:pPr>
        <w:rPr>
          <w:rFonts w:ascii="Times New Roman" w:hAnsi="Times New Roman" w:cs="Times New Roman"/>
          <w:b/>
          <w:sz w:val="24"/>
          <w:szCs w:val="24"/>
        </w:rPr>
      </w:pPr>
      <w:r w:rsidRPr="008F3FF0">
        <w:rPr>
          <w:rFonts w:ascii="Times New Roman" w:hAnsi="Times New Roman" w:cs="Times New Roman"/>
          <w:b/>
          <w:sz w:val="24"/>
          <w:szCs w:val="24"/>
        </w:rPr>
        <w:t>TABLE</w:t>
      </w:r>
      <w:r w:rsidR="00DA25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1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551">
        <w:rPr>
          <w:rFonts w:ascii="Times New Roman" w:hAnsi="Times New Roman" w:cs="Times New Roman"/>
          <w:b/>
          <w:sz w:val="24"/>
          <w:szCs w:val="24"/>
        </w:rPr>
        <w:t xml:space="preserve">PERCENTAGE OF SANCTIONED </w:t>
      </w:r>
      <w:r w:rsidR="0080669D">
        <w:rPr>
          <w:rFonts w:ascii="Times New Roman" w:hAnsi="Times New Roman" w:cs="Times New Roman"/>
          <w:b/>
          <w:sz w:val="24"/>
          <w:szCs w:val="24"/>
        </w:rPr>
        <w:t xml:space="preserve">FULL SERVICE </w:t>
      </w:r>
      <w:r w:rsidR="00DA2551">
        <w:rPr>
          <w:rFonts w:ascii="Times New Roman" w:hAnsi="Times New Roman" w:cs="Times New Roman"/>
          <w:b/>
          <w:sz w:val="24"/>
          <w:szCs w:val="24"/>
        </w:rPr>
        <w:t>UC CLAIMANTS RECEIVING A HARDSHIP PAYMENT</w:t>
      </w:r>
    </w:p>
    <w:p w:rsidR="003E1FBE" w:rsidRPr="008F3FF0" w:rsidRDefault="003E1F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083"/>
        <w:gridCol w:w="1018"/>
        <w:gridCol w:w="1045"/>
        <w:gridCol w:w="1852"/>
        <w:gridCol w:w="1554"/>
        <w:gridCol w:w="1589"/>
      </w:tblGrid>
      <w:tr w:rsidR="000D4CAA" w:rsidTr="003E1FBE">
        <w:tc>
          <w:tcPr>
            <w:tcW w:w="1101" w:type="dxa"/>
          </w:tcPr>
          <w:p w:rsidR="000D4CAA" w:rsidRDefault="000D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3"/>
          </w:tcPr>
          <w:p w:rsidR="000D4CAA" w:rsidRDefault="000D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UC Full Service Sanctions followed by a Hardship Payment</w:t>
            </w:r>
          </w:p>
        </w:tc>
        <w:tc>
          <w:tcPr>
            <w:tcW w:w="0" w:type="auto"/>
          </w:tcPr>
          <w:p w:rsidR="000D4CAA" w:rsidRDefault="000D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D4CAA" w:rsidRDefault="000D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UC Full Service Sanctions followed by a Hardship Payment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Rounded no.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bound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bound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UC Full Service Sanctions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bound %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bound %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Jan-17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Feb-17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Mar-17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Apr-17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May-17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Jun-17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Jul-17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B5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Aug-17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Sep-17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B5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Oct-17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B5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Nov-17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Dec-17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B5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B5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Jan-18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4597</w:t>
            </w:r>
          </w:p>
        </w:tc>
        <w:tc>
          <w:tcPr>
            <w:tcW w:w="0" w:type="auto"/>
          </w:tcPr>
          <w:p w:rsidR="005B3D5F" w:rsidRDefault="00344CD0" w:rsidP="000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8C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Feb-18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76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Mar-18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4074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Apr-18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May-18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Jun-18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7625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7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76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Jul-18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14603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</w:tr>
      <w:tr w:rsidR="00344CD0" w:rsidTr="003E1FBE">
        <w:tc>
          <w:tcPr>
            <w:tcW w:w="110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Aug-18</w:t>
            </w:r>
          </w:p>
        </w:tc>
        <w:tc>
          <w:tcPr>
            <w:tcW w:w="941" w:type="dxa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0" w:type="auto"/>
          </w:tcPr>
          <w:p w:rsidR="005B3D5F" w:rsidRDefault="005B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0" w:type="auto"/>
          </w:tcPr>
          <w:p w:rsidR="005B3D5F" w:rsidRDefault="003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13868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768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B3D5F" w:rsidRDefault="00344CD0" w:rsidP="00C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</w:tr>
    </w:tbl>
    <w:p w:rsidR="003E1FBE" w:rsidRDefault="003E1FBE">
      <w:pPr>
        <w:rPr>
          <w:rFonts w:ascii="Times New Roman" w:hAnsi="Times New Roman" w:cs="Times New Roman"/>
          <w:sz w:val="24"/>
          <w:szCs w:val="24"/>
        </w:rPr>
      </w:pPr>
    </w:p>
    <w:p w:rsidR="008F3FF0" w:rsidRDefault="008F3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 w:rsidR="009D29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669D">
        <w:rPr>
          <w:rFonts w:ascii="Times New Roman" w:hAnsi="Times New Roman" w:cs="Times New Roman"/>
          <w:sz w:val="24"/>
          <w:szCs w:val="24"/>
        </w:rPr>
        <w:t xml:space="preserve">House of Commons </w:t>
      </w:r>
      <w:r>
        <w:rPr>
          <w:rFonts w:ascii="Times New Roman" w:hAnsi="Times New Roman" w:cs="Times New Roman"/>
          <w:sz w:val="24"/>
          <w:szCs w:val="24"/>
        </w:rPr>
        <w:t>Written Parliamentary Answer 206209, 20 March 2019</w:t>
      </w:r>
      <w:r w:rsidR="009D2940">
        <w:rPr>
          <w:rFonts w:ascii="Times New Roman" w:hAnsi="Times New Roman" w:cs="Times New Roman"/>
          <w:sz w:val="24"/>
          <w:szCs w:val="24"/>
        </w:rPr>
        <w:t xml:space="preserve">; </w:t>
      </w:r>
      <w:r w:rsidR="009D2940" w:rsidRPr="009D2940">
        <w:rPr>
          <w:rFonts w:ascii="Times New Roman" w:hAnsi="Times New Roman" w:cs="Times New Roman"/>
          <w:i/>
          <w:sz w:val="24"/>
          <w:szCs w:val="24"/>
        </w:rPr>
        <w:t>Benefit Sanctions Statistics</w:t>
      </w:r>
      <w:r w:rsidR="009D2940">
        <w:rPr>
          <w:rFonts w:ascii="Times New Roman" w:hAnsi="Times New Roman" w:cs="Times New Roman"/>
          <w:sz w:val="24"/>
          <w:szCs w:val="24"/>
        </w:rPr>
        <w:t>, May 2019</w:t>
      </w:r>
    </w:p>
    <w:p w:rsidR="0010177B" w:rsidRDefault="00344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n.a. = Estimate too imprecise to be worth quoting</w:t>
      </w:r>
      <w:r w:rsidR="003E1FBE">
        <w:rPr>
          <w:rFonts w:ascii="Times New Roman" w:hAnsi="Times New Roman" w:cs="Times New Roman"/>
          <w:sz w:val="24"/>
          <w:szCs w:val="24"/>
        </w:rPr>
        <w:t>. This is due to the published figures on hardship payments being rounded to the nearest 100.</w:t>
      </w:r>
    </w:p>
    <w:p w:rsidR="0010177B" w:rsidRDefault="0010177B">
      <w:pPr>
        <w:rPr>
          <w:rFonts w:ascii="Times New Roman" w:hAnsi="Times New Roman" w:cs="Times New Roman"/>
          <w:sz w:val="24"/>
          <w:szCs w:val="24"/>
        </w:rPr>
        <w:sectPr w:rsidR="0010177B" w:rsidSect="000D4C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177B" w:rsidRDefault="0010177B">
      <w:pPr>
        <w:rPr>
          <w:rFonts w:ascii="Times New Roman" w:hAnsi="Times New Roman" w:cs="Times New Roman"/>
          <w:sz w:val="24"/>
          <w:szCs w:val="24"/>
        </w:rPr>
      </w:pPr>
    </w:p>
    <w:p w:rsidR="0010177B" w:rsidRPr="0080669D" w:rsidRDefault="00806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Pr="0080669D">
        <w:rPr>
          <w:rFonts w:ascii="Times New Roman" w:hAnsi="Times New Roman" w:cs="Times New Roman"/>
          <w:b/>
          <w:sz w:val="24"/>
          <w:szCs w:val="24"/>
        </w:rPr>
        <w:t>ure 1</w:t>
      </w:r>
    </w:p>
    <w:p w:rsidR="000D4CAA" w:rsidRDefault="009D2940">
      <w:pPr>
        <w:rPr>
          <w:rFonts w:ascii="Times New Roman" w:hAnsi="Times New Roman" w:cs="Times New Roman"/>
          <w:sz w:val="24"/>
          <w:szCs w:val="24"/>
        </w:rPr>
        <w:sectPr w:rsidR="000D4CAA" w:rsidSect="0010177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848725" cy="53244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445" cy="532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77B" w:rsidRDefault="0010177B">
      <w:pPr>
        <w:rPr>
          <w:rFonts w:ascii="Times New Roman" w:hAnsi="Times New Roman" w:cs="Times New Roman"/>
          <w:sz w:val="24"/>
          <w:szCs w:val="24"/>
        </w:rPr>
      </w:pPr>
    </w:p>
    <w:p w:rsidR="000D4CAA" w:rsidRPr="005B3D5F" w:rsidRDefault="000D4CAA">
      <w:pPr>
        <w:rPr>
          <w:rFonts w:ascii="Times New Roman" w:hAnsi="Times New Roman" w:cs="Times New Roman"/>
          <w:sz w:val="24"/>
          <w:szCs w:val="24"/>
        </w:rPr>
      </w:pPr>
    </w:p>
    <w:sectPr w:rsidR="000D4CAA" w:rsidRPr="005B3D5F" w:rsidSect="000D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A7" w:rsidRDefault="003F2EA7" w:rsidP="000D4CAA">
      <w:r>
        <w:separator/>
      </w:r>
    </w:p>
  </w:endnote>
  <w:endnote w:type="continuationSeparator" w:id="0">
    <w:p w:rsidR="003F2EA7" w:rsidRDefault="003F2EA7" w:rsidP="000D4CAA">
      <w:r>
        <w:continuationSeparator/>
      </w:r>
    </w:p>
  </w:endnote>
  <w:endnote w:id="1">
    <w:p w:rsidR="000D4CAA" w:rsidRDefault="000D4CA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A42D7">
        <w:t xml:space="preserve">The figures for </w:t>
      </w:r>
      <w:r w:rsidRPr="000D4CAA">
        <w:t>the number of Universal Credit Full Service sanction decisions which were followed by a Recoverable Hardship Payment</w:t>
      </w:r>
      <w:r w:rsidR="00CA42D7">
        <w:t xml:space="preserve"> are from a</w:t>
      </w:r>
      <w:r w:rsidR="00CA42D7" w:rsidRPr="000D4CAA">
        <w:t xml:space="preserve"> Parliamentary Question by Stephen Timms MP (206209, 20 March 2019)</w:t>
      </w:r>
      <w:r w:rsidR="00CA42D7">
        <w:t xml:space="preserve">. </w:t>
      </w:r>
      <w:r w:rsidR="00CA42D7" w:rsidRPr="000D4CAA">
        <w:t xml:space="preserve"> </w:t>
      </w:r>
      <w:r w:rsidRPr="000D4CAA">
        <w:t xml:space="preserve">Data on the actual numbers of Universal Credit Full Service sanction decisions (before challenges) </w:t>
      </w:r>
      <w:r w:rsidR="00DA2551">
        <w:t xml:space="preserve">were </w:t>
      </w:r>
      <w:r w:rsidRPr="000D4CAA">
        <w:t xml:space="preserve">published by DWP in </w:t>
      </w:r>
      <w:r w:rsidRPr="00DA2551">
        <w:rPr>
          <w:i/>
        </w:rPr>
        <w:t>Benefit Sanctions Statistics</w:t>
      </w:r>
      <w:r w:rsidRPr="000D4CAA">
        <w:t xml:space="preserve"> on 13 May</w:t>
      </w:r>
      <w:r w:rsidR="00DA2551">
        <w:t xml:space="preserve"> 2019</w:t>
      </w:r>
      <w:r w:rsidRPr="000D4CAA">
        <w:t>.</w:t>
      </w:r>
      <w:r w:rsidR="0080669D">
        <w:t xml:space="preserve"> Full Service from the start has included all categories of applicant in the Jobcentre area and therefore the omission of Live Service cases should not have biased the figures.</w:t>
      </w:r>
    </w:p>
  </w:endnote>
  <w:endnote w:id="2">
    <w:p w:rsidR="00DA2551" w:rsidRDefault="00DA255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A2551">
        <w:t xml:space="preserve">Figures for JSA and ESA </w:t>
      </w:r>
      <w:r w:rsidR="00CA42D7">
        <w:t xml:space="preserve">hardship payments </w:t>
      </w:r>
      <w:r w:rsidRPr="00DA2551">
        <w:t>were published by DWP in an Ad Hoc Statistical Release in November 2015 and slightly updated in a Parliamentary Written Answer, 12 Sept 2016.</w:t>
      </w:r>
      <w:r w:rsidR="0080669D">
        <w:t xml:space="preserve"> They were discussed in the author’s Sanctions Statistics Briefing for November 2015, at </w:t>
      </w:r>
      <w:hyperlink r:id="rId1" w:history="1">
        <w:r w:rsidR="0080669D" w:rsidRPr="00B54F17">
          <w:rPr>
            <w:rStyle w:val="Hyperlink"/>
          </w:rPr>
          <w:t>www.cpag.org.uk/david-webster</w:t>
        </w:r>
      </w:hyperlink>
    </w:p>
    <w:p w:rsidR="0080669D" w:rsidRDefault="0080669D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A7" w:rsidRDefault="003F2EA7" w:rsidP="000D4CAA">
      <w:r>
        <w:separator/>
      </w:r>
    </w:p>
  </w:footnote>
  <w:footnote w:type="continuationSeparator" w:id="0">
    <w:p w:rsidR="003F2EA7" w:rsidRDefault="003F2EA7" w:rsidP="000D4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B3D5F"/>
    <w:rsid w:val="000B52DB"/>
    <w:rsid w:val="000D4CAA"/>
    <w:rsid w:val="0010177B"/>
    <w:rsid w:val="002C33E1"/>
    <w:rsid w:val="003069F4"/>
    <w:rsid w:val="00344CD0"/>
    <w:rsid w:val="00365D24"/>
    <w:rsid w:val="003951E2"/>
    <w:rsid w:val="003E1FBE"/>
    <w:rsid w:val="003F2EA7"/>
    <w:rsid w:val="00476027"/>
    <w:rsid w:val="004A63E2"/>
    <w:rsid w:val="00510C77"/>
    <w:rsid w:val="005B3D5F"/>
    <w:rsid w:val="005F462B"/>
    <w:rsid w:val="0064793C"/>
    <w:rsid w:val="006B3DB6"/>
    <w:rsid w:val="00706649"/>
    <w:rsid w:val="0080669D"/>
    <w:rsid w:val="00883B2D"/>
    <w:rsid w:val="008F3FF0"/>
    <w:rsid w:val="009160FD"/>
    <w:rsid w:val="00973F5E"/>
    <w:rsid w:val="009D2940"/>
    <w:rsid w:val="00AB72E0"/>
    <w:rsid w:val="00C768CA"/>
    <w:rsid w:val="00CA42D7"/>
    <w:rsid w:val="00D47F81"/>
    <w:rsid w:val="00DA2551"/>
    <w:rsid w:val="00DD5C50"/>
    <w:rsid w:val="00E05EE0"/>
    <w:rsid w:val="00FD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7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C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C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4C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ag.org.uk/david-web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6274-37DA-44F2-AFD8-E030EB03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WebsterDavid</dc:creator>
  <cp:lastModifiedBy>WebsterDavid</cp:lastModifiedBy>
  <cp:revision>14</cp:revision>
  <dcterms:created xsi:type="dcterms:W3CDTF">2019-06-12T14:03:00Z</dcterms:created>
  <dcterms:modified xsi:type="dcterms:W3CDTF">2019-07-08T12:03:00Z</dcterms:modified>
</cp:coreProperties>
</file>