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27AF" w14:textId="77777777" w:rsidR="0077786D" w:rsidRPr="0077786D" w:rsidRDefault="0077786D" w:rsidP="0077786D">
      <w:pPr>
        <w:spacing w:after="0" w:line="240" w:lineRule="auto"/>
        <w:rPr>
          <w:rFonts w:eastAsia="Times New Roman" w:cs="Times New Roman"/>
          <w:b/>
          <w:lang w:eastAsia="en-GB"/>
        </w:rPr>
      </w:pPr>
    </w:p>
    <w:p w14:paraId="732CA24C"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Fonts w:ascii="Palatino Linotype" w:eastAsiaTheme="minorHAnsi" w:hAnsi="Palatino Linotype" w:cstheme="minorBidi"/>
          <w:b/>
          <w:bCs/>
          <w:noProof/>
          <w:lang w:eastAsia="en-US"/>
        </w:rPr>
        <w:drawing>
          <wp:inline distT="0" distB="0" distL="0" distR="0" wp14:anchorId="0BE2A979" wp14:editId="118C4A3F">
            <wp:extent cx="1649095" cy="8350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095" cy="835025"/>
                    </a:xfrm>
                    <a:prstGeom prst="rect">
                      <a:avLst/>
                    </a:prstGeom>
                    <a:noFill/>
                    <a:ln>
                      <a:noFill/>
                    </a:ln>
                  </pic:spPr>
                </pic:pic>
              </a:graphicData>
            </a:graphic>
          </wp:inline>
        </w:drawing>
      </w:r>
      <w:r>
        <w:rPr>
          <w:rStyle w:val="normaltextrun"/>
          <w:rFonts w:ascii="Verdana" w:hAnsi="Verdana" w:cs="Segoe UI"/>
          <w:color w:val="004274"/>
          <w:sz w:val="20"/>
          <w:szCs w:val="20"/>
        </w:rPr>
        <w:t>     Citizens Advice East Devon</w:t>
      </w:r>
      <w:r>
        <w:rPr>
          <w:rStyle w:val="eop"/>
          <w:rFonts w:ascii="Verdana" w:hAnsi="Verdana" w:cs="Segoe UI"/>
          <w:color w:val="004274"/>
          <w:sz w:val="20"/>
          <w:szCs w:val="20"/>
        </w:rPr>
        <w:t> </w:t>
      </w:r>
    </w:p>
    <w:p w14:paraId="125B41DC"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67 Exeter Road</w:t>
      </w:r>
      <w:r>
        <w:rPr>
          <w:rStyle w:val="eop"/>
          <w:rFonts w:ascii="Verdana" w:hAnsi="Verdana" w:cs="Segoe UI"/>
          <w:color w:val="004274"/>
          <w:sz w:val="20"/>
          <w:szCs w:val="20"/>
        </w:rPr>
        <w:t> </w:t>
      </w:r>
    </w:p>
    <w:p w14:paraId="51FA5F53"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Exmouth</w:t>
      </w:r>
      <w:r>
        <w:rPr>
          <w:rStyle w:val="eop"/>
          <w:rFonts w:ascii="Verdana" w:hAnsi="Verdana" w:cs="Segoe UI"/>
          <w:color w:val="004274"/>
          <w:sz w:val="20"/>
          <w:szCs w:val="20"/>
        </w:rPr>
        <w:t> </w:t>
      </w:r>
    </w:p>
    <w:p w14:paraId="0D27DB28"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Devon</w:t>
      </w:r>
      <w:r>
        <w:rPr>
          <w:rStyle w:val="eop"/>
          <w:rFonts w:ascii="Verdana" w:hAnsi="Verdana" w:cs="Segoe UI"/>
          <w:color w:val="004274"/>
          <w:sz w:val="20"/>
          <w:szCs w:val="20"/>
        </w:rPr>
        <w:t> </w:t>
      </w:r>
    </w:p>
    <w:p w14:paraId="4D0F4581"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EX8 1QD</w:t>
      </w:r>
      <w:r>
        <w:rPr>
          <w:rStyle w:val="eop"/>
          <w:rFonts w:ascii="Verdana" w:hAnsi="Verdana" w:cs="Segoe UI"/>
          <w:color w:val="004274"/>
          <w:sz w:val="20"/>
          <w:szCs w:val="20"/>
        </w:rPr>
        <w:t> </w:t>
      </w:r>
    </w:p>
    <w:p w14:paraId="5DEA33A3"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Tel: 01395 265 070</w:t>
      </w:r>
      <w:r>
        <w:rPr>
          <w:rStyle w:val="eop"/>
          <w:rFonts w:ascii="Verdana" w:hAnsi="Verdana" w:cs="Segoe UI"/>
          <w:color w:val="004274"/>
          <w:sz w:val="20"/>
          <w:szCs w:val="20"/>
        </w:rPr>
        <w:t> </w:t>
      </w:r>
    </w:p>
    <w:p w14:paraId="7CCBE2E1" w14:textId="77777777" w:rsidR="0034245B" w:rsidRDefault="0034245B" w:rsidP="0034245B">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color w:val="004274"/>
          <w:sz w:val="20"/>
          <w:szCs w:val="20"/>
        </w:rPr>
        <w:t>citizensadviceeastdevon.org.uk</w:t>
      </w:r>
      <w:r>
        <w:rPr>
          <w:rStyle w:val="eop"/>
          <w:rFonts w:ascii="Verdana" w:hAnsi="Verdana" w:cs="Segoe UI"/>
          <w:color w:val="004274"/>
          <w:sz w:val="20"/>
          <w:szCs w:val="20"/>
        </w:rPr>
        <w:t> </w:t>
      </w:r>
    </w:p>
    <w:p w14:paraId="34CBDCCE" w14:textId="77777777" w:rsidR="0034245B" w:rsidRDefault="0034245B" w:rsidP="0034245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79454BB" w14:textId="77777777" w:rsidR="00F06F1F" w:rsidRDefault="00F06F1F" w:rsidP="0077786D">
      <w:pPr>
        <w:spacing w:after="0" w:line="240" w:lineRule="auto"/>
        <w:rPr>
          <w:rFonts w:eastAsia="Times New Roman" w:cs="Times New Roman"/>
          <w:b/>
          <w:lang w:eastAsia="en-GB"/>
        </w:rPr>
      </w:pPr>
    </w:p>
    <w:p w14:paraId="53E25F73" w14:textId="0815EB38" w:rsidR="004F535F" w:rsidRDefault="004F535F" w:rsidP="0077786D">
      <w:pPr>
        <w:spacing w:after="0" w:line="240" w:lineRule="auto"/>
        <w:rPr>
          <w:rFonts w:eastAsia="Times New Roman" w:cs="Times New Roman"/>
          <w:lang w:eastAsia="en-GB"/>
        </w:rPr>
      </w:pPr>
      <w:r>
        <w:rPr>
          <w:rFonts w:eastAsia="Times New Roman" w:cs="Times New Roman"/>
          <w:lang w:eastAsia="en-GB"/>
        </w:rPr>
        <w:t xml:space="preserve">It is common ground that </w:t>
      </w:r>
      <w:r w:rsidR="00C055C1">
        <w:rPr>
          <w:rFonts w:eastAsia="Times New Roman" w:cs="Times New Roman"/>
          <w:lang w:eastAsia="en-GB"/>
        </w:rPr>
        <w:t xml:space="preserve">X </w:t>
      </w:r>
      <w:r>
        <w:rPr>
          <w:rFonts w:eastAsia="Times New Roman" w:cs="Times New Roman"/>
          <w:lang w:eastAsia="en-GB"/>
        </w:rPr>
        <w:t>made a claim for ESA in December 2020</w:t>
      </w:r>
      <w:r w:rsidR="00920C95">
        <w:rPr>
          <w:rFonts w:eastAsia="Times New Roman" w:cs="Times New Roman"/>
          <w:lang w:eastAsia="en-GB"/>
        </w:rPr>
        <w:t>, which was later backdated to November, when her Fit Notes commenced (medical evidence of unfitness to work).</w:t>
      </w:r>
      <w:r w:rsidR="008C74C0">
        <w:rPr>
          <w:rFonts w:eastAsia="Times New Roman" w:cs="Times New Roman"/>
          <w:lang w:eastAsia="en-GB"/>
        </w:rPr>
        <w:t xml:space="preserve">  She returned an ESA50 questionnaire (Capability for Work) in early February 2021</w:t>
      </w:r>
      <w:r w:rsidR="002B6B53">
        <w:rPr>
          <w:rFonts w:eastAsia="Times New Roman" w:cs="Times New Roman"/>
          <w:lang w:eastAsia="en-GB"/>
        </w:rPr>
        <w:t xml:space="preserve"> and then received her first payment of ESA at the basic rate.</w:t>
      </w:r>
    </w:p>
    <w:p w14:paraId="3172A43F" w14:textId="53520DA8" w:rsidR="00585A78" w:rsidRDefault="00585A78" w:rsidP="0077786D">
      <w:pPr>
        <w:spacing w:after="0" w:line="240" w:lineRule="auto"/>
        <w:rPr>
          <w:rFonts w:eastAsia="Times New Roman" w:cs="Times New Roman"/>
          <w:lang w:eastAsia="en-GB"/>
        </w:rPr>
      </w:pPr>
    </w:p>
    <w:p w14:paraId="0DE2B9F4" w14:textId="3E8135E1" w:rsidR="00585A78" w:rsidRDefault="00585A78" w:rsidP="0077786D">
      <w:pPr>
        <w:spacing w:after="0" w:line="240" w:lineRule="auto"/>
        <w:rPr>
          <w:rFonts w:cstheme="minorBidi"/>
        </w:rPr>
      </w:pPr>
      <w:r>
        <w:rPr>
          <w:rFonts w:eastAsia="Times New Roman" w:cs="Times New Roman"/>
          <w:lang w:eastAsia="en-GB"/>
        </w:rPr>
        <w:t>13 January 2021</w:t>
      </w:r>
      <w:r w:rsidR="008548B6">
        <w:rPr>
          <w:rFonts w:eastAsia="Times New Roman" w:cs="Times New Roman"/>
          <w:lang w:eastAsia="en-GB"/>
        </w:rPr>
        <w:t>:</w:t>
      </w:r>
      <w:r>
        <w:rPr>
          <w:rFonts w:eastAsia="Times New Roman" w:cs="Times New Roman"/>
          <w:lang w:eastAsia="en-GB"/>
        </w:rPr>
        <w:t xml:space="preserve"> she started a Universal Credit claim</w:t>
      </w:r>
      <w:r w:rsidR="002B6B53">
        <w:rPr>
          <w:rFonts w:eastAsia="Times New Roman" w:cs="Times New Roman"/>
          <w:lang w:eastAsia="en-GB"/>
        </w:rPr>
        <w:t xml:space="preserve"> and received the first payment</w:t>
      </w:r>
      <w:r w:rsidR="002B6B53" w:rsidRPr="002B6B53">
        <w:rPr>
          <w:rFonts w:cstheme="minorBidi"/>
          <w:b/>
          <w:bCs/>
        </w:rPr>
        <w:t xml:space="preserve"> </w:t>
      </w:r>
      <w:r w:rsidR="002B6B53" w:rsidRPr="00C111E7">
        <w:rPr>
          <w:rFonts w:cstheme="minorBidi"/>
        </w:rPr>
        <w:t>on 19 February for the period 13 January – 12 February 2021</w:t>
      </w:r>
      <w:r w:rsidR="002B6B53">
        <w:rPr>
          <w:rFonts w:cstheme="minorBidi"/>
        </w:rPr>
        <w:t>.</w:t>
      </w:r>
    </w:p>
    <w:p w14:paraId="0E79A759" w14:textId="6C15C763" w:rsidR="002B6B53" w:rsidRDefault="002B6B53" w:rsidP="0077786D">
      <w:pPr>
        <w:spacing w:after="0" w:line="240" w:lineRule="auto"/>
        <w:rPr>
          <w:rFonts w:cstheme="minorBidi"/>
        </w:rPr>
      </w:pPr>
    </w:p>
    <w:p w14:paraId="1A8F1ACD" w14:textId="7979AF11" w:rsidR="002B6B53" w:rsidRDefault="008548B6" w:rsidP="0077786D">
      <w:pPr>
        <w:spacing w:after="0" w:line="240" w:lineRule="auto"/>
        <w:rPr>
          <w:rFonts w:cstheme="minorBidi"/>
        </w:rPr>
      </w:pPr>
      <w:r>
        <w:rPr>
          <w:rFonts w:cstheme="minorBidi"/>
        </w:rPr>
        <w:t>12 March 2021: she was assessed for ESA, in a Work Capability Assessment following which she was assessed as having Limited Capability for Work and Work Related Activities (LCWRA) and therefore entitled to the ESA</w:t>
      </w:r>
      <w:r w:rsidR="00745108">
        <w:rPr>
          <w:rFonts w:cstheme="minorBidi"/>
        </w:rPr>
        <w:t xml:space="preserve"> Support Component.</w:t>
      </w:r>
    </w:p>
    <w:p w14:paraId="4C3E08C0" w14:textId="02E2850C" w:rsidR="00745108" w:rsidRDefault="00745108" w:rsidP="0077786D">
      <w:pPr>
        <w:spacing w:after="0" w:line="240" w:lineRule="auto"/>
        <w:rPr>
          <w:rFonts w:cstheme="minorBidi"/>
        </w:rPr>
      </w:pPr>
    </w:p>
    <w:p w14:paraId="4716C1ED" w14:textId="2E373A29" w:rsidR="00745108" w:rsidRDefault="00745108" w:rsidP="0077786D">
      <w:pPr>
        <w:spacing w:after="0" w:line="240" w:lineRule="auto"/>
        <w:rPr>
          <w:rFonts w:cstheme="minorBidi"/>
        </w:rPr>
      </w:pPr>
      <w:r>
        <w:rPr>
          <w:rFonts w:cstheme="minorBidi"/>
        </w:rPr>
        <w:t>She received this backdated to 6 February as this was 13 weeks after starting her ESA</w:t>
      </w:r>
      <w:r w:rsidR="00F77A44">
        <w:rPr>
          <w:rFonts w:cstheme="minorBidi"/>
        </w:rPr>
        <w:t>, as per regulations.</w:t>
      </w:r>
    </w:p>
    <w:p w14:paraId="17BEFDB4" w14:textId="6737DBC4" w:rsidR="00BE1086" w:rsidRDefault="00BE1086" w:rsidP="0077786D">
      <w:pPr>
        <w:spacing w:after="0" w:line="240" w:lineRule="auto"/>
        <w:rPr>
          <w:rFonts w:cstheme="minorBidi"/>
        </w:rPr>
      </w:pPr>
    </w:p>
    <w:p w14:paraId="5E38F0F8" w14:textId="1CE839BB" w:rsidR="002D081D" w:rsidRPr="002D081D" w:rsidRDefault="0008049B" w:rsidP="002D081D">
      <w:pPr>
        <w:spacing w:after="0" w:line="240" w:lineRule="auto"/>
        <w:rPr>
          <w:rFonts w:cstheme="minorBidi"/>
        </w:rPr>
      </w:pPr>
      <w:r>
        <w:rPr>
          <w:rFonts w:cstheme="minorBidi"/>
        </w:rPr>
        <w:t xml:space="preserve">It was allowed in her Universal Credit calculations until </w:t>
      </w:r>
      <w:r w:rsidR="002D081D">
        <w:rPr>
          <w:rFonts w:cstheme="minorBidi"/>
        </w:rPr>
        <w:t xml:space="preserve">the </w:t>
      </w:r>
      <w:r w:rsidR="002D081D" w:rsidRPr="002D081D">
        <w:rPr>
          <w:rFonts w:cstheme="minorBidi"/>
          <w:noProof/>
        </w:rPr>
        <w:t>assessment period 13 April 2021 to 12 May 2021.</w:t>
      </w:r>
    </w:p>
    <w:p w14:paraId="21C5866E" w14:textId="31C2DC9D" w:rsidR="00F77A44" w:rsidRDefault="00F77A44" w:rsidP="0077786D">
      <w:pPr>
        <w:spacing w:after="0" w:line="240" w:lineRule="auto"/>
        <w:rPr>
          <w:rFonts w:cstheme="minorBidi"/>
        </w:rPr>
      </w:pPr>
    </w:p>
    <w:p w14:paraId="1B9644C9" w14:textId="77777777" w:rsidR="00F77A44" w:rsidRDefault="00F77A44" w:rsidP="0077786D">
      <w:pPr>
        <w:spacing w:after="0" w:line="240" w:lineRule="auto"/>
        <w:rPr>
          <w:rFonts w:cstheme="minorBidi"/>
        </w:rPr>
      </w:pPr>
    </w:p>
    <w:p w14:paraId="454D4E63" w14:textId="7D863C63" w:rsidR="008C74C0" w:rsidRDefault="002D081D" w:rsidP="0077786D">
      <w:pPr>
        <w:spacing w:after="0" w:line="240" w:lineRule="auto"/>
        <w:rPr>
          <w:rFonts w:cstheme="minorBidi"/>
        </w:rPr>
      </w:pPr>
      <w:r>
        <w:rPr>
          <w:rFonts w:cstheme="minorBidi"/>
        </w:rPr>
        <w:t xml:space="preserve">This appeal hinges on the interpretation of </w:t>
      </w:r>
      <w:r w:rsidR="00737F0D">
        <w:rPr>
          <w:rFonts w:cstheme="minorBidi"/>
        </w:rPr>
        <w:t xml:space="preserve">Regulation 28 </w:t>
      </w:r>
      <w:r w:rsidR="00C05691">
        <w:rPr>
          <w:rFonts w:cstheme="minorBidi"/>
        </w:rPr>
        <w:t>(5) (b)(</w:t>
      </w:r>
      <w:proofErr w:type="spellStart"/>
      <w:r w:rsidR="00C05691">
        <w:rPr>
          <w:rFonts w:cstheme="minorBidi"/>
        </w:rPr>
        <w:t>i</w:t>
      </w:r>
      <w:proofErr w:type="spellEnd"/>
      <w:r w:rsidR="00C05691">
        <w:rPr>
          <w:rFonts w:cstheme="minorBidi"/>
        </w:rPr>
        <w:t xml:space="preserve">) </w:t>
      </w:r>
      <w:r w:rsidR="00737F0D">
        <w:rPr>
          <w:rFonts w:cstheme="minorBidi"/>
        </w:rPr>
        <w:t>of the Universal Credit Regulations.</w:t>
      </w:r>
    </w:p>
    <w:p w14:paraId="0CA4C3FA" w14:textId="27FEF708" w:rsidR="00C05691" w:rsidRDefault="00C05691" w:rsidP="0077786D">
      <w:pPr>
        <w:spacing w:after="0" w:line="240" w:lineRule="auto"/>
        <w:rPr>
          <w:rFonts w:cstheme="minorBidi"/>
        </w:rPr>
      </w:pPr>
    </w:p>
    <w:p w14:paraId="7B57C3FF" w14:textId="6490754E" w:rsidR="00C05691" w:rsidRDefault="00C05691" w:rsidP="0077786D">
      <w:pPr>
        <w:spacing w:after="0" w:line="240" w:lineRule="auto"/>
        <w:rPr>
          <w:rFonts w:cstheme="minorBidi"/>
        </w:rPr>
      </w:pPr>
      <w:r>
        <w:rPr>
          <w:rFonts w:cstheme="minorBidi"/>
        </w:rPr>
        <w:t xml:space="preserve">This states: </w:t>
      </w:r>
    </w:p>
    <w:p w14:paraId="70088351" w14:textId="77777777" w:rsidR="00737F0D" w:rsidRPr="00737F0D" w:rsidRDefault="00737F0D" w:rsidP="00737F0D">
      <w:pPr>
        <w:spacing w:after="0"/>
        <w:rPr>
          <w:rFonts w:cstheme="minorBidi"/>
        </w:rPr>
      </w:pPr>
    </w:p>
    <w:p w14:paraId="11A2A6B3" w14:textId="56DCA8B2" w:rsidR="00737F0D" w:rsidRPr="00737F0D" w:rsidRDefault="00E21DF4" w:rsidP="00737F0D">
      <w:pPr>
        <w:shd w:val="clear" w:color="auto" w:fill="FFFFFF"/>
        <w:spacing w:after="120" w:line="360" w:lineRule="atLeast"/>
        <w:ind w:firstLine="240"/>
        <w:jc w:val="both"/>
        <w:rPr>
          <w:rFonts w:eastAsia="Times New Roman" w:cs="Arial"/>
          <w:color w:val="494949"/>
          <w:lang w:eastAsia="en-GB"/>
        </w:rPr>
      </w:pPr>
      <w:r>
        <w:rPr>
          <w:rFonts w:eastAsia="Times New Roman" w:cs="Arial"/>
          <w:color w:val="494949"/>
          <w:lang w:eastAsia="en-GB"/>
        </w:rPr>
        <w:t>‘</w:t>
      </w:r>
      <w:r w:rsidR="00737F0D" w:rsidRPr="00737F0D">
        <w:rPr>
          <w:rFonts w:eastAsia="Times New Roman" w:cs="Arial"/>
          <w:color w:val="494949"/>
          <w:lang w:eastAsia="en-GB"/>
        </w:rPr>
        <w:t>Regulation 28</w:t>
      </w:r>
    </w:p>
    <w:p w14:paraId="27E1E6A3" w14:textId="77777777" w:rsidR="00737F0D" w:rsidRPr="00737F0D" w:rsidRDefault="00737F0D" w:rsidP="00737F0D">
      <w:pPr>
        <w:shd w:val="clear" w:color="auto" w:fill="FFFFFF"/>
        <w:spacing w:after="120" w:line="360" w:lineRule="atLeast"/>
        <w:ind w:firstLine="240"/>
        <w:jc w:val="both"/>
        <w:rPr>
          <w:rFonts w:eastAsia="Times New Roman" w:cs="Arial"/>
          <w:color w:val="494949"/>
          <w:lang w:eastAsia="en-GB"/>
        </w:rPr>
      </w:pPr>
      <w:r w:rsidRPr="00737F0D">
        <w:rPr>
          <w:rFonts w:eastAsia="Times New Roman" w:cs="Arial"/>
          <w:color w:val="494949"/>
          <w:lang w:eastAsia="en-GB"/>
        </w:rPr>
        <w:t>(5) Paragraph (1) also does not apply if—</w:t>
      </w:r>
    </w:p>
    <w:p w14:paraId="2059CB3E" w14:textId="77777777" w:rsidR="00737F0D" w:rsidRPr="00737F0D" w:rsidRDefault="00737F0D" w:rsidP="00737F0D">
      <w:pPr>
        <w:shd w:val="clear" w:color="auto" w:fill="FFFFFF"/>
        <w:spacing w:after="120" w:line="360" w:lineRule="atLeast"/>
        <w:rPr>
          <w:rFonts w:eastAsia="Times New Roman" w:cs="Arial"/>
          <w:color w:val="494949"/>
          <w:lang w:eastAsia="en-GB"/>
        </w:rPr>
      </w:pPr>
      <w:r w:rsidRPr="00737F0D">
        <w:rPr>
          <w:rFonts w:eastAsia="Times New Roman" w:cs="Arial"/>
          <w:color w:val="494949"/>
          <w:lang w:eastAsia="en-GB"/>
        </w:rPr>
        <w:t>(a)the claimant is terminally ill; or</w:t>
      </w:r>
    </w:p>
    <w:p w14:paraId="2FD6BCB3" w14:textId="77777777" w:rsidR="00737F0D" w:rsidRPr="00737F0D" w:rsidRDefault="00737F0D" w:rsidP="00737F0D">
      <w:pPr>
        <w:shd w:val="clear" w:color="auto" w:fill="FFFFFF"/>
        <w:spacing w:after="120" w:line="360" w:lineRule="atLeast"/>
        <w:rPr>
          <w:rFonts w:eastAsia="Times New Roman" w:cs="Arial"/>
          <w:color w:val="494949"/>
          <w:lang w:eastAsia="en-GB"/>
        </w:rPr>
      </w:pPr>
      <w:r w:rsidRPr="00737F0D">
        <w:rPr>
          <w:rFonts w:eastAsia="Times New Roman" w:cs="Arial"/>
          <w:color w:val="494949"/>
          <w:lang w:eastAsia="en-GB"/>
        </w:rPr>
        <w:t>(b)the claimant—</w:t>
      </w:r>
    </w:p>
    <w:p w14:paraId="5C11FB30" w14:textId="4DB41129" w:rsidR="00737F0D" w:rsidRDefault="00737F0D" w:rsidP="00737F0D">
      <w:pPr>
        <w:shd w:val="clear" w:color="auto" w:fill="FFFFFF"/>
        <w:spacing w:after="120" w:line="360" w:lineRule="atLeast"/>
        <w:rPr>
          <w:rFonts w:eastAsia="Times New Roman" w:cs="Arial"/>
          <w:color w:val="494949"/>
          <w:lang w:eastAsia="en-GB"/>
        </w:rPr>
      </w:pPr>
      <w:r w:rsidRPr="00737F0D">
        <w:rPr>
          <w:rFonts w:eastAsia="Times New Roman" w:cs="Arial"/>
          <w:color w:val="494949"/>
          <w:lang w:eastAsia="en-GB"/>
        </w:rPr>
        <w:lastRenderedPageBreak/>
        <w:t>(</w:t>
      </w:r>
      <w:proofErr w:type="spellStart"/>
      <w:r w:rsidRPr="00737F0D">
        <w:rPr>
          <w:rFonts w:eastAsia="Times New Roman" w:cs="Arial"/>
          <w:color w:val="494949"/>
          <w:lang w:eastAsia="en-GB"/>
        </w:rPr>
        <w:t>i</w:t>
      </w:r>
      <w:proofErr w:type="spellEnd"/>
      <w:r w:rsidRPr="00737F0D">
        <w:rPr>
          <w:rFonts w:eastAsia="Times New Roman" w:cs="Arial"/>
          <w:color w:val="494949"/>
          <w:lang w:eastAsia="en-GB"/>
        </w:rPr>
        <w:t>)</w:t>
      </w:r>
      <w:r w:rsidR="00E21DF4">
        <w:rPr>
          <w:rFonts w:eastAsia="Times New Roman" w:cs="Arial"/>
          <w:color w:val="494949"/>
          <w:lang w:eastAsia="en-GB"/>
        </w:rPr>
        <w:t xml:space="preserve"> </w:t>
      </w:r>
      <w:r w:rsidRPr="00737F0D">
        <w:rPr>
          <w:rFonts w:eastAsia="Times New Roman" w:cs="Arial"/>
          <w:color w:val="494949"/>
          <w:lang w:eastAsia="en-GB"/>
        </w:rPr>
        <w:t>is entitled to an employment and support allowance that includes the support component or the work-related activity component</w:t>
      </w:r>
      <w:r w:rsidR="00E21DF4">
        <w:rPr>
          <w:rFonts w:eastAsia="Times New Roman" w:cs="Arial"/>
          <w:color w:val="494949"/>
          <w:lang w:eastAsia="en-GB"/>
        </w:rPr>
        <w:t>’</w:t>
      </w:r>
    </w:p>
    <w:p w14:paraId="70D7BF31" w14:textId="49C3C01B" w:rsidR="00E21DF4" w:rsidRDefault="00E21DF4" w:rsidP="00737F0D">
      <w:pPr>
        <w:shd w:val="clear" w:color="auto" w:fill="FFFFFF"/>
        <w:spacing w:after="120" w:line="360" w:lineRule="atLeast"/>
        <w:rPr>
          <w:rFonts w:eastAsia="Times New Roman" w:cs="Arial"/>
          <w:color w:val="494949"/>
          <w:lang w:eastAsia="en-GB"/>
        </w:rPr>
      </w:pPr>
    </w:p>
    <w:p w14:paraId="75AD9B3B" w14:textId="1797DFF1" w:rsidR="00F70E44" w:rsidRDefault="00F70E44" w:rsidP="00737F0D">
      <w:pPr>
        <w:shd w:val="clear" w:color="auto" w:fill="FFFFFF"/>
        <w:spacing w:after="120" w:line="360" w:lineRule="atLeast"/>
        <w:rPr>
          <w:rFonts w:cstheme="minorBidi"/>
        </w:rPr>
      </w:pPr>
      <w:r>
        <w:rPr>
          <w:rFonts w:eastAsia="Times New Roman" w:cs="Arial"/>
          <w:color w:val="494949"/>
          <w:lang w:eastAsia="en-GB"/>
        </w:rPr>
        <w:t>In its Advice for Decision Makers, the DWP guidance</w:t>
      </w:r>
      <w:r w:rsidR="00EE0D46" w:rsidRPr="009F2E04">
        <w:rPr>
          <w:rFonts w:cstheme="minorBidi"/>
        </w:rPr>
        <w:t xml:space="preserve"> is clear that if a UC claimant starts being in the ESA Support Group after claiming UC then they do still have to serve the three month relevant period</w:t>
      </w:r>
      <w:r w:rsidR="00EE0D46">
        <w:rPr>
          <w:rFonts w:cstheme="minorBidi"/>
        </w:rPr>
        <w:t xml:space="preserve"> for Universal Credit.</w:t>
      </w:r>
      <w:r w:rsidR="00EE0D46" w:rsidRPr="009F2E04">
        <w:rPr>
          <w:rFonts w:cstheme="minorBidi"/>
        </w:rPr>
        <w:t xml:space="preserve"> What is not clear is whether or not there is any lawful basis for this.</w:t>
      </w:r>
    </w:p>
    <w:p w14:paraId="3876EE07" w14:textId="45965557" w:rsidR="00BB4EFD" w:rsidRDefault="00BB4EFD" w:rsidP="00737F0D">
      <w:pPr>
        <w:shd w:val="clear" w:color="auto" w:fill="FFFFFF"/>
        <w:spacing w:after="120" w:line="360" w:lineRule="atLeast"/>
        <w:rPr>
          <w:rFonts w:cstheme="minorBidi"/>
        </w:rPr>
      </w:pPr>
    </w:p>
    <w:p w14:paraId="033EEEF5" w14:textId="3BF7EC62" w:rsidR="00CA0A74" w:rsidRDefault="00BB4EFD" w:rsidP="00737F0D">
      <w:pPr>
        <w:shd w:val="clear" w:color="auto" w:fill="FFFFFF"/>
        <w:spacing w:after="120" w:line="360" w:lineRule="atLeast"/>
        <w:rPr>
          <w:rFonts w:cstheme="minorBidi"/>
        </w:rPr>
      </w:pPr>
      <w:r w:rsidRPr="004F6DAF">
        <w:rPr>
          <w:rFonts w:cstheme="minorBidi"/>
          <w:b/>
          <w:bCs/>
        </w:rPr>
        <w:t>Firstly</w:t>
      </w:r>
      <w:r>
        <w:rPr>
          <w:rFonts w:cstheme="minorBidi"/>
        </w:rPr>
        <w:t>, the relevant three month period is surely the three months beginning from the start of the claim for Limited Capability for Work</w:t>
      </w:r>
      <w:r w:rsidR="00CA0A74">
        <w:rPr>
          <w:rFonts w:cstheme="minorBidi"/>
        </w:rPr>
        <w:t>, or the first day on which the claimant provides medical evidence of LCW.  This was accepted by ESA as beginning on 6 November 2020</w:t>
      </w:r>
      <w:r w:rsidR="00315F46">
        <w:rPr>
          <w:rFonts w:cstheme="minorBidi"/>
        </w:rPr>
        <w:t>.  The Limited Capability for Work questionnaire was returned to ESA, not Universal Credit, and the assessment then arranged by ESA.</w:t>
      </w:r>
      <w:r w:rsidR="00F17F06">
        <w:rPr>
          <w:rFonts w:cstheme="minorBidi"/>
        </w:rPr>
        <w:t xml:space="preserve">  </w:t>
      </w:r>
    </w:p>
    <w:p w14:paraId="313437CE" w14:textId="77777777" w:rsidR="004F6DAF" w:rsidRDefault="004F6DAF" w:rsidP="00737F0D">
      <w:pPr>
        <w:shd w:val="clear" w:color="auto" w:fill="FFFFFF"/>
        <w:spacing w:after="120" w:line="360" w:lineRule="atLeast"/>
        <w:rPr>
          <w:rFonts w:cstheme="minorBidi"/>
        </w:rPr>
      </w:pPr>
    </w:p>
    <w:p w14:paraId="335599A7" w14:textId="3B4DA943" w:rsidR="00F17F06" w:rsidRDefault="00F17F06" w:rsidP="00737F0D">
      <w:pPr>
        <w:shd w:val="clear" w:color="auto" w:fill="FFFFFF"/>
        <w:spacing w:after="120" w:line="360" w:lineRule="atLeast"/>
        <w:rPr>
          <w:rFonts w:cstheme="minorBidi"/>
        </w:rPr>
      </w:pPr>
      <w:r>
        <w:rPr>
          <w:rFonts w:cstheme="minorBidi"/>
        </w:rPr>
        <w:t>The DWP is not contesting that the evidence of LCW has to be provided specifically in connection with the UC clai</w:t>
      </w:r>
      <w:r w:rsidR="004F6DAF">
        <w:rPr>
          <w:rFonts w:cstheme="minorBidi"/>
        </w:rPr>
        <w:t>m</w:t>
      </w:r>
      <w:r>
        <w:rPr>
          <w:rFonts w:cstheme="minorBidi"/>
        </w:rPr>
        <w:t xml:space="preserve"> and has accepted </w:t>
      </w:r>
      <w:r w:rsidR="009D7AEA">
        <w:rPr>
          <w:rFonts w:cstheme="minorBidi"/>
        </w:rPr>
        <w:t>the evidence from ESA.</w:t>
      </w:r>
    </w:p>
    <w:p w14:paraId="2D63377F" w14:textId="77777777" w:rsidR="004F6DAF" w:rsidRDefault="004F6DAF" w:rsidP="00737F0D">
      <w:pPr>
        <w:shd w:val="clear" w:color="auto" w:fill="FFFFFF"/>
        <w:spacing w:after="120" w:line="360" w:lineRule="atLeast"/>
        <w:rPr>
          <w:rFonts w:cstheme="minorBidi"/>
        </w:rPr>
      </w:pPr>
    </w:p>
    <w:p w14:paraId="64AB3F95" w14:textId="5E797806" w:rsidR="00315F46" w:rsidRDefault="00315F46" w:rsidP="00737F0D">
      <w:pPr>
        <w:shd w:val="clear" w:color="auto" w:fill="FFFFFF"/>
        <w:spacing w:after="120" w:line="360" w:lineRule="atLeast"/>
        <w:rPr>
          <w:rFonts w:cstheme="minorBidi"/>
        </w:rPr>
      </w:pPr>
      <w:r>
        <w:rPr>
          <w:rFonts w:cstheme="minorBidi"/>
        </w:rPr>
        <w:t xml:space="preserve">There </w:t>
      </w:r>
      <w:r w:rsidR="00F17F06">
        <w:rPr>
          <w:rFonts w:cstheme="minorBidi"/>
        </w:rPr>
        <w:t>is no legal basis for stating that the three month period has to be in connection with UC</w:t>
      </w:r>
      <w:r w:rsidR="009D7AEA">
        <w:rPr>
          <w:rFonts w:cstheme="minorBidi"/>
        </w:rPr>
        <w:t xml:space="preserve"> claim specifically.</w:t>
      </w:r>
    </w:p>
    <w:p w14:paraId="079B5B3E" w14:textId="77777777" w:rsidR="000542A3" w:rsidRDefault="000542A3" w:rsidP="00737F0D">
      <w:pPr>
        <w:shd w:val="clear" w:color="auto" w:fill="FFFFFF"/>
        <w:spacing w:after="120" w:line="360" w:lineRule="atLeast"/>
        <w:rPr>
          <w:rFonts w:cstheme="minorBidi"/>
        </w:rPr>
      </w:pPr>
    </w:p>
    <w:p w14:paraId="457D2F75" w14:textId="043B9D8D" w:rsidR="000542A3" w:rsidRDefault="009D7AEA" w:rsidP="00737F0D">
      <w:pPr>
        <w:shd w:val="clear" w:color="auto" w:fill="FFFFFF"/>
        <w:spacing w:after="120" w:line="360" w:lineRule="atLeast"/>
        <w:rPr>
          <w:rFonts w:cstheme="minorBidi"/>
        </w:rPr>
      </w:pPr>
      <w:r w:rsidRPr="004F6DAF">
        <w:rPr>
          <w:rFonts w:cstheme="minorBidi"/>
          <w:b/>
          <w:bCs/>
        </w:rPr>
        <w:t>Secondly,</w:t>
      </w:r>
      <w:r>
        <w:rPr>
          <w:rFonts w:cstheme="minorBidi"/>
        </w:rPr>
        <w:t xml:space="preserve"> I submit that the </w:t>
      </w:r>
      <w:r w:rsidR="000542A3">
        <w:rPr>
          <w:rFonts w:cstheme="minorBidi"/>
        </w:rPr>
        <w:t xml:space="preserve">relevant period of three months for Universal Credit claimants does not apply to an ESA claimant in the Support Group </w:t>
      </w:r>
    </w:p>
    <w:p w14:paraId="7E17D527" w14:textId="77777777" w:rsidR="00E109F3" w:rsidRDefault="00E109F3" w:rsidP="00737F0D">
      <w:pPr>
        <w:shd w:val="clear" w:color="auto" w:fill="FFFFFF"/>
        <w:spacing w:after="120" w:line="360" w:lineRule="atLeast"/>
        <w:rPr>
          <w:rFonts w:cstheme="minorBidi"/>
        </w:rPr>
      </w:pPr>
    </w:p>
    <w:p w14:paraId="1DAE3AFE" w14:textId="77777777" w:rsidR="0069579F" w:rsidRDefault="00E109F3" w:rsidP="0069579F">
      <w:pPr>
        <w:spacing w:after="0"/>
        <w:rPr>
          <w:rFonts w:cs="Helvetica"/>
          <w:color w:val="303335"/>
        </w:rPr>
      </w:pPr>
      <w:r>
        <w:rPr>
          <w:rFonts w:cs="Helvetica"/>
          <w:color w:val="303335"/>
          <w:shd w:val="clear" w:color="auto" w:fill="FCFCFC"/>
        </w:rPr>
        <w:t>Regulation 28 (5)</w:t>
      </w:r>
      <w:r w:rsidRPr="00C9174B">
        <w:rPr>
          <w:rFonts w:cs="Helvetica"/>
          <w:color w:val="303335"/>
          <w:shd w:val="clear" w:color="auto" w:fill="FCFCFC"/>
        </w:rPr>
        <w:t>(b)(</w:t>
      </w:r>
      <w:proofErr w:type="spellStart"/>
      <w:r w:rsidRPr="00C9174B">
        <w:rPr>
          <w:rFonts w:cs="Helvetica"/>
          <w:color w:val="303335"/>
          <w:shd w:val="clear" w:color="auto" w:fill="FCFCFC"/>
        </w:rPr>
        <w:t>i</w:t>
      </w:r>
      <w:proofErr w:type="spellEnd"/>
      <w:r>
        <w:rPr>
          <w:rFonts w:cs="Helvetica"/>
          <w:color w:val="303335"/>
          <w:shd w:val="clear" w:color="auto" w:fill="FCFCFC"/>
        </w:rPr>
        <w:t>) says:</w:t>
      </w:r>
      <w:r w:rsidRPr="00C9174B">
        <w:rPr>
          <w:rFonts w:cs="Helvetica"/>
          <w:color w:val="303335"/>
          <w:shd w:val="clear" w:color="auto" w:fill="FCFCFC"/>
        </w:rPr>
        <w:t xml:space="preserve"> “[The waiting period] also does not apply if ... the claimant ... is entitled to an employment and support allowance that includes the support component”.</w:t>
      </w:r>
    </w:p>
    <w:p w14:paraId="3C8B5D01" w14:textId="77777777" w:rsidR="0069579F" w:rsidRDefault="0069579F" w:rsidP="0069579F">
      <w:pPr>
        <w:spacing w:after="0"/>
        <w:rPr>
          <w:rFonts w:cs="Helvetica"/>
          <w:color w:val="303335"/>
        </w:rPr>
      </w:pPr>
    </w:p>
    <w:p w14:paraId="14B472CF" w14:textId="4019E5A2" w:rsidR="00C8212A" w:rsidRPr="0069579F" w:rsidRDefault="00C8212A" w:rsidP="0069579F">
      <w:pPr>
        <w:spacing w:after="0"/>
        <w:rPr>
          <w:rFonts w:eastAsia="Times New Roman" w:cs="Arial"/>
          <w:color w:val="494949"/>
          <w:lang w:eastAsia="en-GB"/>
        </w:rPr>
      </w:pPr>
      <w:r>
        <w:rPr>
          <w:rFonts w:cstheme="minorBidi"/>
        </w:rPr>
        <w:t xml:space="preserve">The logical interpretation of this is that </w:t>
      </w:r>
      <w:r w:rsidR="008E3364">
        <w:rPr>
          <w:rFonts w:cstheme="minorBidi"/>
        </w:rPr>
        <w:t>even if the waiting period for Universal Credit is already in progress, it would end when entitlement to the support component starts.</w:t>
      </w:r>
    </w:p>
    <w:p w14:paraId="2E1ED357" w14:textId="77777777" w:rsidR="0069579F" w:rsidRDefault="0069579F" w:rsidP="00737F0D">
      <w:pPr>
        <w:shd w:val="clear" w:color="auto" w:fill="FFFFFF"/>
        <w:spacing w:after="120" w:line="360" w:lineRule="atLeast"/>
        <w:rPr>
          <w:rFonts w:cstheme="minorBidi"/>
        </w:rPr>
      </w:pPr>
    </w:p>
    <w:p w14:paraId="6CC930A3" w14:textId="0EB3D5AB" w:rsidR="008C4F9D" w:rsidRDefault="008C4F9D" w:rsidP="00737F0D">
      <w:pPr>
        <w:shd w:val="clear" w:color="auto" w:fill="FFFFFF"/>
        <w:spacing w:after="120" w:line="360" w:lineRule="atLeast"/>
        <w:rPr>
          <w:rFonts w:cstheme="minorBidi"/>
        </w:rPr>
      </w:pPr>
      <w:r>
        <w:rPr>
          <w:rFonts w:cstheme="minorBidi"/>
        </w:rPr>
        <w:lastRenderedPageBreak/>
        <w:t xml:space="preserve">The decision to put the claimant in the Support Group ends any relevant period that may be running under Universal Credit, and so the LCWRA element would have to be included </w:t>
      </w:r>
      <w:r w:rsidR="00A635E0">
        <w:rPr>
          <w:rFonts w:cstheme="minorBidi"/>
        </w:rPr>
        <w:t xml:space="preserve">in the Universal Credit assessment </w:t>
      </w:r>
      <w:r>
        <w:rPr>
          <w:rFonts w:cstheme="minorBidi"/>
        </w:rPr>
        <w:t xml:space="preserve">from the </w:t>
      </w:r>
      <w:r w:rsidR="00C8212A">
        <w:rPr>
          <w:rFonts w:cstheme="minorBidi"/>
        </w:rPr>
        <w:t>assessment period in which the ESA Support Group starts.</w:t>
      </w:r>
    </w:p>
    <w:p w14:paraId="2418BB0B" w14:textId="77777777" w:rsidR="00DF5C98" w:rsidRDefault="00DF5C98" w:rsidP="00737F0D">
      <w:pPr>
        <w:shd w:val="clear" w:color="auto" w:fill="FFFFFF"/>
        <w:spacing w:after="120" w:line="360" w:lineRule="atLeast"/>
        <w:rPr>
          <w:rFonts w:cstheme="minorBidi"/>
        </w:rPr>
      </w:pPr>
    </w:p>
    <w:p w14:paraId="797E3C06" w14:textId="77777777" w:rsidR="00DF5C98" w:rsidRDefault="00A635E0" w:rsidP="00737F0D">
      <w:pPr>
        <w:shd w:val="clear" w:color="auto" w:fill="FFFFFF"/>
        <w:spacing w:after="120" w:line="360" w:lineRule="atLeast"/>
        <w:rPr>
          <w:rFonts w:cstheme="minorBidi"/>
        </w:rPr>
      </w:pPr>
      <w:r>
        <w:rPr>
          <w:rFonts w:cstheme="minorBidi"/>
        </w:rPr>
        <w:t xml:space="preserve">This would therefore mean that the Higher rate Work Capability component </w:t>
      </w:r>
      <w:r w:rsidR="00121AA1">
        <w:rPr>
          <w:rFonts w:cstheme="minorBidi"/>
        </w:rPr>
        <w:t>should also be included in the Universal Credit calculation from the assessment period in which the ESA Support group starts.</w:t>
      </w:r>
    </w:p>
    <w:p w14:paraId="5833FCAD" w14:textId="77777777" w:rsidR="00DF5C98" w:rsidRDefault="00DF5C98" w:rsidP="00737F0D">
      <w:pPr>
        <w:shd w:val="clear" w:color="auto" w:fill="FFFFFF"/>
        <w:spacing w:after="120" w:line="360" w:lineRule="atLeast"/>
        <w:rPr>
          <w:rFonts w:cstheme="minorBidi"/>
        </w:rPr>
      </w:pPr>
    </w:p>
    <w:p w14:paraId="5E05E998" w14:textId="6F54B83B" w:rsidR="0069579F" w:rsidRDefault="0069579F" w:rsidP="00737F0D">
      <w:pPr>
        <w:shd w:val="clear" w:color="auto" w:fill="FFFFFF"/>
        <w:spacing w:after="120" w:line="360" w:lineRule="atLeast"/>
        <w:rPr>
          <w:rFonts w:cstheme="minorBidi"/>
        </w:rPr>
      </w:pPr>
      <w:r>
        <w:rPr>
          <w:rFonts w:cstheme="minorBidi"/>
        </w:rPr>
        <w:t xml:space="preserve">The illogicality of the DM position is highlighted by the fact that following their interpretation of </w:t>
      </w:r>
      <w:r w:rsidR="004F6DAF">
        <w:rPr>
          <w:rFonts w:cstheme="minorBidi"/>
        </w:rPr>
        <w:t>Regulation 28(5)(b) leads to the ridiculous and unjust situation where the claimant</w:t>
      </w:r>
      <w:r w:rsidR="00C055C1">
        <w:rPr>
          <w:rFonts w:cstheme="minorBidi"/>
        </w:rPr>
        <w:t xml:space="preserve"> </w:t>
      </w:r>
      <w:r w:rsidR="004F6DAF">
        <w:rPr>
          <w:rFonts w:cstheme="minorBidi"/>
        </w:rPr>
        <w:t xml:space="preserve"> is held to have been overpaid by more </w:t>
      </w:r>
      <w:r w:rsidR="00FC5F97">
        <w:rPr>
          <w:rFonts w:cstheme="minorBidi"/>
        </w:rPr>
        <w:t xml:space="preserve">- </w:t>
      </w:r>
      <w:r w:rsidR="00FC5F97" w:rsidRPr="00FC5F97">
        <w:rPr>
          <w:rFonts w:cstheme="minorBidi"/>
        </w:rPr>
        <w:t>£509.61</w:t>
      </w:r>
      <w:r w:rsidR="00FC5F97">
        <w:rPr>
          <w:rFonts w:cstheme="minorBidi"/>
        </w:rPr>
        <w:t xml:space="preserve">- than she was paid in additional ESA - </w:t>
      </w:r>
      <w:r w:rsidR="00013451" w:rsidRPr="00013451">
        <w:rPr>
          <w:rFonts w:cstheme="minorBidi"/>
        </w:rPr>
        <w:t>£386.40</w:t>
      </w:r>
      <w:r w:rsidR="002C1296">
        <w:rPr>
          <w:rFonts w:cstheme="minorBidi"/>
        </w:rPr>
        <w:t xml:space="preserve"> – in the period January 2021 – 13 April 2021.</w:t>
      </w:r>
    </w:p>
    <w:p w14:paraId="17CD9925" w14:textId="77777777" w:rsidR="003A4A45" w:rsidRDefault="003A4A45" w:rsidP="00737F0D">
      <w:pPr>
        <w:shd w:val="clear" w:color="auto" w:fill="FFFFFF"/>
        <w:spacing w:after="120" w:line="360" w:lineRule="atLeast"/>
        <w:rPr>
          <w:rFonts w:cstheme="minorBidi"/>
        </w:rPr>
      </w:pPr>
    </w:p>
    <w:p w14:paraId="5171CC2F" w14:textId="15B317D8" w:rsidR="003A4A45" w:rsidRDefault="002C1296" w:rsidP="00737F0D">
      <w:pPr>
        <w:shd w:val="clear" w:color="auto" w:fill="FFFFFF"/>
        <w:spacing w:after="120" w:line="360" w:lineRule="atLeast"/>
        <w:rPr>
          <w:rFonts w:cstheme="minorBidi"/>
        </w:rPr>
      </w:pPr>
      <w:r>
        <w:rPr>
          <w:rFonts w:cstheme="minorBidi"/>
        </w:rPr>
        <w:t xml:space="preserve">Signed: </w:t>
      </w:r>
    </w:p>
    <w:p w14:paraId="6807B206" w14:textId="084F7474" w:rsidR="002C1296" w:rsidRDefault="002C1296" w:rsidP="00737F0D">
      <w:pPr>
        <w:shd w:val="clear" w:color="auto" w:fill="FFFFFF"/>
        <w:spacing w:after="120" w:line="360" w:lineRule="atLeast"/>
        <w:rPr>
          <w:rFonts w:cstheme="minorBidi"/>
        </w:rPr>
      </w:pPr>
      <w:r>
        <w:rPr>
          <w:rFonts w:cstheme="minorBidi"/>
        </w:rPr>
        <w:t>Rose Lawrence (Appeals Representative)</w:t>
      </w:r>
    </w:p>
    <w:p w14:paraId="7D3DB1F2" w14:textId="7B91F0ED" w:rsidR="005E1037" w:rsidRPr="00D6068B" w:rsidRDefault="002C1296" w:rsidP="00737F0D">
      <w:pPr>
        <w:shd w:val="clear" w:color="auto" w:fill="FFFFFF"/>
        <w:spacing w:after="120" w:line="360" w:lineRule="atLeast"/>
        <w:rPr>
          <w:rFonts w:cstheme="minorBidi"/>
        </w:rPr>
      </w:pPr>
      <w:r>
        <w:rPr>
          <w:rFonts w:cstheme="minorBidi"/>
        </w:rPr>
        <w:t>Date: 24 October 2021</w:t>
      </w:r>
    </w:p>
    <w:p w14:paraId="490668F1" w14:textId="15F4CDA1" w:rsidR="00737F0D" w:rsidRDefault="00737F0D" w:rsidP="0077786D">
      <w:pPr>
        <w:spacing w:after="0" w:line="240" w:lineRule="auto"/>
        <w:rPr>
          <w:rFonts w:cstheme="minorBidi"/>
        </w:rPr>
      </w:pPr>
    </w:p>
    <w:sectPr w:rsidR="00737F0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BDF2" w14:textId="77777777" w:rsidR="009D7411" w:rsidRDefault="009D7411">
      <w:pPr>
        <w:spacing w:after="0" w:line="240" w:lineRule="auto"/>
      </w:pPr>
      <w:r>
        <w:separator/>
      </w:r>
    </w:p>
  </w:endnote>
  <w:endnote w:type="continuationSeparator" w:id="0">
    <w:p w14:paraId="49AB22E1" w14:textId="77777777" w:rsidR="009D7411" w:rsidRDefault="009D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FCD8" w14:textId="77777777" w:rsidR="002A4620" w:rsidRDefault="0077786D">
    <w:pPr>
      <w:pStyle w:val="Footer"/>
      <w:jc w:val="center"/>
    </w:pPr>
    <w:r>
      <w:fldChar w:fldCharType="begin"/>
    </w:r>
    <w:r>
      <w:instrText xml:space="preserve"> PAGE   \* MERGEFORMAT </w:instrText>
    </w:r>
    <w:r>
      <w:fldChar w:fldCharType="separate"/>
    </w:r>
    <w:r w:rsidR="00F54B2C">
      <w:rPr>
        <w:noProof/>
      </w:rPr>
      <w:t>1</w:t>
    </w:r>
    <w:r>
      <w:rPr>
        <w:noProof/>
      </w:rPr>
      <w:fldChar w:fldCharType="end"/>
    </w:r>
  </w:p>
  <w:p w14:paraId="3C2AA4D7" w14:textId="77777777" w:rsidR="008D0B58" w:rsidRDefault="009D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87CD" w14:textId="77777777" w:rsidR="009D7411" w:rsidRDefault="009D7411">
      <w:pPr>
        <w:spacing w:after="0" w:line="240" w:lineRule="auto"/>
      </w:pPr>
      <w:r>
        <w:separator/>
      </w:r>
    </w:p>
  </w:footnote>
  <w:footnote w:type="continuationSeparator" w:id="0">
    <w:p w14:paraId="7A5A8AF2" w14:textId="77777777" w:rsidR="009D7411" w:rsidRDefault="009D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F109" w14:textId="292AFB11" w:rsidR="0037789A" w:rsidRDefault="0037789A">
    <w:pPr>
      <w:pStyle w:val="Header"/>
    </w:pPr>
  </w:p>
  <w:p w14:paraId="63CE1CD3" w14:textId="4D129B31" w:rsidR="008D0B58" w:rsidRDefault="009D7411" w:rsidP="002A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31"/>
    <w:multiLevelType w:val="hybridMultilevel"/>
    <w:tmpl w:val="88D246A6"/>
    <w:lvl w:ilvl="0" w:tplc="4D2E3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064AA"/>
    <w:multiLevelType w:val="hybridMultilevel"/>
    <w:tmpl w:val="C344A014"/>
    <w:lvl w:ilvl="0" w:tplc="4ACA8042">
      <w:start w:val="2"/>
      <w:numFmt w:val="lowerRoman"/>
      <w:lvlText w:val="(%1)"/>
      <w:lvlJc w:val="left"/>
      <w:pPr>
        <w:tabs>
          <w:tab w:val="num" w:pos="840"/>
        </w:tabs>
        <w:ind w:left="840" w:hanging="72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 w15:restartNumberingAfterBreak="0">
    <w:nsid w:val="296D036A"/>
    <w:multiLevelType w:val="multilevel"/>
    <w:tmpl w:val="5CF0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5125A"/>
    <w:multiLevelType w:val="multilevel"/>
    <w:tmpl w:val="5BCE7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108FC"/>
    <w:multiLevelType w:val="multilevel"/>
    <w:tmpl w:val="C3203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001D12"/>
    <w:multiLevelType w:val="multilevel"/>
    <w:tmpl w:val="094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347BB"/>
    <w:multiLevelType w:val="hybridMultilevel"/>
    <w:tmpl w:val="C982F834"/>
    <w:lvl w:ilvl="0" w:tplc="64D6D0B6">
      <w:start w:val="1"/>
      <w:numFmt w:val="lowerLetter"/>
      <w:lvlText w:val="(%1)"/>
      <w:lvlJc w:val="left"/>
      <w:pPr>
        <w:tabs>
          <w:tab w:val="num" w:pos="900"/>
        </w:tabs>
        <w:ind w:left="900" w:hanging="540"/>
      </w:pPr>
      <w:rPr>
        <w:rFonts w:hint="default"/>
        <w:i w:val="0"/>
        <w:u w:val="single"/>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A73584D"/>
    <w:multiLevelType w:val="multilevel"/>
    <w:tmpl w:val="7B4A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A7343"/>
    <w:multiLevelType w:val="hybridMultilevel"/>
    <w:tmpl w:val="346A3046"/>
    <w:lvl w:ilvl="0" w:tplc="C28AB38E">
      <w:start w:val="1"/>
      <w:numFmt w:val="decimal"/>
      <w:pStyle w:val="Numbered"/>
      <w:lvlText w:val="%1."/>
      <w:lvlJc w:val="left"/>
      <w:pPr>
        <w:tabs>
          <w:tab w:val="num" w:pos="687"/>
        </w:tabs>
        <w:ind w:left="120" w:firstLine="0"/>
      </w:pPr>
      <w:rPr>
        <w:rFonts w:hint="default"/>
      </w:rPr>
    </w:lvl>
    <w:lvl w:ilvl="1" w:tplc="78D4DAFE">
      <w:start w:val="2"/>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476886"/>
    <w:multiLevelType w:val="hybridMultilevel"/>
    <w:tmpl w:val="344E1032"/>
    <w:lvl w:ilvl="0" w:tplc="33E41B8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4B3F5F"/>
    <w:multiLevelType w:val="hybridMultilevel"/>
    <w:tmpl w:val="C344A014"/>
    <w:lvl w:ilvl="0" w:tplc="4ACA8042">
      <w:start w:val="2"/>
      <w:numFmt w:val="lowerRoman"/>
      <w:lvlText w:val="(%1)"/>
      <w:lvlJc w:val="left"/>
      <w:pPr>
        <w:tabs>
          <w:tab w:val="num" w:pos="840"/>
        </w:tabs>
        <w:ind w:left="840" w:hanging="72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1" w15:restartNumberingAfterBreak="0">
    <w:nsid w:val="73F436FD"/>
    <w:multiLevelType w:val="multilevel"/>
    <w:tmpl w:val="0ED6AA1E"/>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E4695"/>
    <w:multiLevelType w:val="hybridMultilevel"/>
    <w:tmpl w:val="85B04104"/>
    <w:lvl w:ilvl="0" w:tplc="122C7978">
      <w:start w:val="1"/>
      <w:numFmt w:val="lowerRoman"/>
      <w:lvlText w:val="(%1)"/>
      <w:lvlJc w:val="left"/>
      <w:pPr>
        <w:tabs>
          <w:tab w:val="num" w:pos="840"/>
        </w:tabs>
        <w:ind w:left="840" w:hanging="72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3" w15:restartNumberingAfterBreak="0">
    <w:nsid w:val="78941648"/>
    <w:multiLevelType w:val="hybridMultilevel"/>
    <w:tmpl w:val="B5DAE4EA"/>
    <w:lvl w:ilvl="0" w:tplc="1CA654CE">
      <w:start w:val="1"/>
      <w:numFmt w:val="lowerRoman"/>
      <w:lvlText w:val="(%1)"/>
      <w:lvlJc w:val="left"/>
      <w:pPr>
        <w:tabs>
          <w:tab w:val="num" w:pos="915"/>
        </w:tabs>
        <w:ind w:left="915" w:hanging="720"/>
      </w:pPr>
      <w:rPr>
        <w:rFonts w:hint="default"/>
      </w:rPr>
    </w:lvl>
    <w:lvl w:ilvl="1" w:tplc="08090019" w:tentative="1">
      <w:start w:val="1"/>
      <w:numFmt w:val="lowerLetter"/>
      <w:lvlText w:val="%2."/>
      <w:lvlJc w:val="left"/>
      <w:pPr>
        <w:tabs>
          <w:tab w:val="num" w:pos="1275"/>
        </w:tabs>
        <w:ind w:left="1275" w:hanging="360"/>
      </w:pPr>
    </w:lvl>
    <w:lvl w:ilvl="2" w:tplc="0809001B" w:tentative="1">
      <w:start w:val="1"/>
      <w:numFmt w:val="lowerRoman"/>
      <w:lvlText w:val="%3."/>
      <w:lvlJc w:val="right"/>
      <w:pPr>
        <w:tabs>
          <w:tab w:val="num" w:pos="1995"/>
        </w:tabs>
        <w:ind w:left="1995" w:hanging="180"/>
      </w:pPr>
    </w:lvl>
    <w:lvl w:ilvl="3" w:tplc="0809000F" w:tentative="1">
      <w:start w:val="1"/>
      <w:numFmt w:val="decimal"/>
      <w:lvlText w:val="%4."/>
      <w:lvlJc w:val="left"/>
      <w:pPr>
        <w:tabs>
          <w:tab w:val="num" w:pos="2715"/>
        </w:tabs>
        <w:ind w:left="2715" w:hanging="360"/>
      </w:pPr>
    </w:lvl>
    <w:lvl w:ilvl="4" w:tplc="08090019" w:tentative="1">
      <w:start w:val="1"/>
      <w:numFmt w:val="lowerLetter"/>
      <w:lvlText w:val="%5."/>
      <w:lvlJc w:val="left"/>
      <w:pPr>
        <w:tabs>
          <w:tab w:val="num" w:pos="3435"/>
        </w:tabs>
        <w:ind w:left="3435" w:hanging="360"/>
      </w:pPr>
    </w:lvl>
    <w:lvl w:ilvl="5" w:tplc="0809001B" w:tentative="1">
      <w:start w:val="1"/>
      <w:numFmt w:val="lowerRoman"/>
      <w:lvlText w:val="%6."/>
      <w:lvlJc w:val="right"/>
      <w:pPr>
        <w:tabs>
          <w:tab w:val="num" w:pos="4155"/>
        </w:tabs>
        <w:ind w:left="4155" w:hanging="180"/>
      </w:pPr>
    </w:lvl>
    <w:lvl w:ilvl="6" w:tplc="0809000F" w:tentative="1">
      <w:start w:val="1"/>
      <w:numFmt w:val="decimal"/>
      <w:lvlText w:val="%7."/>
      <w:lvlJc w:val="left"/>
      <w:pPr>
        <w:tabs>
          <w:tab w:val="num" w:pos="4875"/>
        </w:tabs>
        <w:ind w:left="4875" w:hanging="360"/>
      </w:pPr>
    </w:lvl>
    <w:lvl w:ilvl="7" w:tplc="08090019" w:tentative="1">
      <w:start w:val="1"/>
      <w:numFmt w:val="lowerLetter"/>
      <w:lvlText w:val="%8."/>
      <w:lvlJc w:val="left"/>
      <w:pPr>
        <w:tabs>
          <w:tab w:val="num" w:pos="5595"/>
        </w:tabs>
        <w:ind w:left="5595" w:hanging="360"/>
      </w:pPr>
    </w:lvl>
    <w:lvl w:ilvl="8" w:tplc="0809001B" w:tentative="1">
      <w:start w:val="1"/>
      <w:numFmt w:val="lowerRoman"/>
      <w:lvlText w:val="%9."/>
      <w:lvlJc w:val="right"/>
      <w:pPr>
        <w:tabs>
          <w:tab w:val="num" w:pos="6315"/>
        </w:tabs>
        <w:ind w:left="6315" w:hanging="180"/>
      </w:pPr>
    </w:lvl>
  </w:abstractNum>
  <w:abstractNum w:abstractNumId="14" w15:restartNumberingAfterBreak="0">
    <w:nsid w:val="79B20519"/>
    <w:multiLevelType w:val="hybridMultilevel"/>
    <w:tmpl w:val="0D62DCF0"/>
    <w:lvl w:ilvl="0" w:tplc="2B5A80FE">
      <w:start w:val="1"/>
      <w:numFmt w:val="lowerLetter"/>
      <w:lvlText w:val="(%1)"/>
      <w:lvlJc w:val="left"/>
      <w:pPr>
        <w:tabs>
          <w:tab w:val="num" w:pos="660"/>
        </w:tabs>
        <w:ind w:left="660" w:hanging="540"/>
      </w:pPr>
      <w:rPr>
        <w:rFonts w:hint="default"/>
        <w:u w:val="single"/>
      </w:rPr>
    </w:lvl>
    <w:lvl w:ilvl="1" w:tplc="9F6C83C2">
      <w:start w:val="8"/>
      <w:numFmt w:val="decimal"/>
      <w:lvlText w:val="%2."/>
      <w:lvlJc w:val="left"/>
      <w:pPr>
        <w:tabs>
          <w:tab w:val="num" w:pos="1125"/>
        </w:tabs>
        <w:ind w:left="1125" w:hanging="405"/>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5" w15:restartNumberingAfterBreak="0">
    <w:nsid w:val="79C13163"/>
    <w:multiLevelType w:val="hybridMultilevel"/>
    <w:tmpl w:val="63786F12"/>
    <w:lvl w:ilvl="0" w:tplc="D51887DE">
      <w:start w:val="1"/>
      <w:numFmt w:val="lowerLetter"/>
      <w:lvlText w:val="(%1)"/>
      <w:lvlJc w:val="left"/>
      <w:pPr>
        <w:tabs>
          <w:tab w:val="num" w:pos="585"/>
        </w:tabs>
        <w:ind w:left="585" w:hanging="465"/>
      </w:pPr>
      <w:rPr>
        <w:rFonts w:hint="default"/>
      </w:rPr>
    </w:lvl>
    <w:lvl w:ilvl="1" w:tplc="61D470BA">
      <w:start w:val="2"/>
      <w:numFmt w:val="decimal"/>
      <w:lvlText w:val="(%2)"/>
      <w:lvlJc w:val="left"/>
      <w:pPr>
        <w:tabs>
          <w:tab w:val="num" w:pos="1710"/>
        </w:tabs>
        <w:ind w:left="1710" w:hanging="87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num w:numId="1">
    <w:abstractNumId w:val="6"/>
  </w:num>
  <w:num w:numId="2">
    <w:abstractNumId w:val="12"/>
  </w:num>
  <w:num w:numId="3">
    <w:abstractNumId w:val="10"/>
  </w:num>
  <w:num w:numId="4">
    <w:abstractNumId w:val="14"/>
  </w:num>
  <w:num w:numId="5">
    <w:abstractNumId w:val="13"/>
  </w:num>
  <w:num w:numId="6">
    <w:abstractNumId w:val="15"/>
  </w:num>
  <w:num w:numId="7">
    <w:abstractNumId w:val="9"/>
  </w:num>
  <w:num w:numId="8">
    <w:abstractNumId w:val="8"/>
  </w:num>
  <w:num w:numId="9">
    <w:abstractNumId w:val="3"/>
  </w:num>
  <w:num w:numId="10">
    <w:abstractNumId w:val="7"/>
  </w:num>
  <w:num w:numId="11">
    <w:abstractNumId w:val="11"/>
  </w:num>
  <w:num w:numId="12">
    <w:abstractNumId w:val="1"/>
  </w:num>
  <w:num w:numId="13">
    <w:abstractNumId w:val="0"/>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6D"/>
    <w:rsid w:val="00013451"/>
    <w:rsid w:val="00013B4B"/>
    <w:rsid w:val="000331DD"/>
    <w:rsid w:val="0003482F"/>
    <w:rsid w:val="000542A3"/>
    <w:rsid w:val="0008049B"/>
    <w:rsid w:val="00083470"/>
    <w:rsid w:val="000E3B3E"/>
    <w:rsid w:val="001044D3"/>
    <w:rsid w:val="00121AA1"/>
    <w:rsid w:val="001566B3"/>
    <w:rsid w:val="00161254"/>
    <w:rsid w:val="00167F24"/>
    <w:rsid w:val="001C490A"/>
    <w:rsid w:val="001F4D93"/>
    <w:rsid w:val="00215D0D"/>
    <w:rsid w:val="002B6B53"/>
    <w:rsid w:val="002C1296"/>
    <w:rsid w:val="002D081D"/>
    <w:rsid w:val="002F2208"/>
    <w:rsid w:val="00304923"/>
    <w:rsid w:val="00313AF3"/>
    <w:rsid w:val="00315F46"/>
    <w:rsid w:val="0034245B"/>
    <w:rsid w:val="00375128"/>
    <w:rsid w:val="0037789A"/>
    <w:rsid w:val="00397A7B"/>
    <w:rsid w:val="00397EDD"/>
    <w:rsid w:val="003A4A45"/>
    <w:rsid w:val="003A77FC"/>
    <w:rsid w:val="003B0F14"/>
    <w:rsid w:val="0041343D"/>
    <w:rsid w:val="00443ABE"/>
    <w:rsid w:val="00470F9B"/>
    <w:rsid w:val="004B40FE"/>
    <w:rsid w:val="004F535F"/>
    <w:rsid w:val="004F6DAF"/>
    <w:rsid w:val="0057791A"/>
    <w:rsid w:val="00585A78"/>
    <w:rsid w:val="00587F0A"/>
    <w:rsid w:val="005A13F1"/>
    <w:rsid w:val="005B6B78"/>
    <w:rsid w:val="005D3988"/>
    <w:rsid w:val="005E1037"/>
    <w:rsid w:val="0069579F"/>
    <w:rsid w:val="006A7EE4"/>
    <w:rsid w:val="006E1DE0"/>
    <w:rsid w:val="006F19B3"/>
    <w:rsid w:val="00737F0D"/>
    <w:rsid w:val="00745108"/>
    <w:rsid w:val="0077786D"/>
    <w:rsid w:val="007F3BB3"/>
    <w:rsid w:val="0081312C"/>
    <w:rsid w:val="00833062"/>
    <w:rsid w:val="008548B6"/>
    <w:rsid w:val="00872C98"/>
    <w:rsid w:val="008C4F9D"/>
    <w:rsid w:val="008C74C0"/>
    <w:rsid w:val="008E3364"/>
    <w:rsid w:val="00901C97"/>
    <w:rsid w:val="00920062"/>
    <w:rsid w:val="00920C95"/>
    <w:rsid w:val="009561EC"/>
    <w:rsid w:val="009565EE"/>
    <w:rsid w:val="0098118B"/>
    <w:rsid w:val="009845A3"/>
    <w:rsid w:val="00996AED"/>
    <w:rsid w:val="009B4357"/>
    <w:rsid w:val="009D0152"/>
    <w:rsid w:val="009D7411"/>
    <w:rsid w:val="009D7AEA"/>
    <w:rsid w:val="009F2E04"/>
    <w:rsid w:val="00A2504D"/>
    <w:rsid w:val="00A462CA"/>
    <w:rsid w:val="00A544A0"/>
    <w:rsid w:val="00A561B4"/>
    <w:rsid w:val="00A635E0"/>
    <w:rsid w:val="00A73BE8"/>
    <w:rsid w:val="00A73E93"/>
    <w:rsid w:val="00A949C0"/>
    <w:rsid w:val="00B15C25"/>
    <w:rsid w:val="00B16615"/>
    <w:rsid w:val="00BB4EFD"/>
    <w:rsid w:val="00BC56F1"/>
    <w:rsid w:val="00BE1086"/>
    <w:rsid w:val="00C055C1"/>
    <w:rsid w:val="00C05691"/>
    <w:rsid w:val="00C111E7"/>
    <w:rsid w:val="00C126EB"/>
    <w:rsid w:val="00C51AAE"/>
    <w:rsid w:val="00C53144"/>
    <w:rsid w:val="00C6593D"/>
    <w:rsid w:val="00C81593"/>
    <w:rsid w:val="00C8212A"/>
    <w:rsid w:val="00C9174B"/>
    <w:rsid w:val="00C963E4"/>
    <w:rsid w:val="00CA0A74"/>
    <w:rsid w:val="00CA61FF"/>
    <w:rsid w:val="00CA70A3"/>
    <w:rsid w:val="00CD4791"/>
    <w:rsid w:val="00CE7007"/>
    <w:rsid w:val="00CF5038"/>
    <w:rsid w:val="00D31898"/>
    <w:rsid w:val="00D603AE"/>
    <w:rsid w:val="00D6068B"/>
    <w:rsid w:val="00DA3FFD"/>
    <w:rsid w:val="00DD69F5"/>
    <w:rsid w:val="00DF5C98"/>
    <w:rsid w:val="00E109F3"/>
    <w:rsid w:val="00E21DF4"/>
    <w:rsid w:val="00E93ADB"/>
    <w:rsid w:val="00EA0302"/>
    <w:rsid w:val="00EB62D3"/>
    <w:rsid w:val="00EC46FB"/>
    <w:rsid w:val="00EC7500"/>
    <w:rsid w:val="00EE0D46"/>
    <w:rsid w:val="00F06F1F"/>
    <w:rsid w:val="00F076EF"/>
    <w:rsid w:val="00F10CAD"/>
    <w:rsid w:val="00F17F06"/>
    <w:rsid w:val="00F24267"/>
    <w:rsid w:val="00F54B2C"/>
    <w:rsid w:val="00F6182E"/>
    <w:rsid w:val="00F70E44"/>
    <w:rsid w:val="00F73492"/>
    <w:rsid w:val="00F77A44"/>
    <w:rsid w:val="00FB7506"/>
    <w:rsid w:val="00FC5F97"/>
    <w:rsid w:val="00FD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A9AD"/>
  <w15:chartTrackingRefBased/>
  <w15:docId w15:val="{0058AFEB-FE13-460E-AF82-C8D5144E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86D"/>
  </w:style>
  <w:style w:type="paragraph" w:styleId="Footer">
    <w:name w:val="footer"/>
    <w:basedOn w:val="Normal"/>
    <w:link w:val="FooterChar"/>
    <w:uiPriority w:val="99"/>
    <w:unhideWhenUsed/>
    <w:rsid w:val="00777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86D"/>
  </w:style>
  <w:style w:type="paragraph" w:customStyle="1" w:styleId="Numbered">
    <w:name w:val="Numbered"/>
    <w:basedOn w:val="Normal"/>
    <w:rsid w:val="0077786D"/>
    <w:pPr>
      <w:numPr>
        <w:numId w:val="8"/>
      </w:numPr>
      <w:tabs>
        <w:tab w:val="clear" w:pos="687"/>
        <w:tab w:val="num" w:pos="567"/>
        <w:tab w:val="left" w:pos="1134"/>
        <w:tab w:val="left" w:pos="1701"/>
        <w:tab w:val="left" w:pos="2268"/>
        <w:tab w:val="left" w:pos="2835"/>
      </w:tabs>
      <w:spacing w:after="120" w:line="240" w:lineRule="auto"/>
      <w:ind w:left="0"/>
      <w:jc w:val="both"/>
    </w:pPr>
    <w:rPr>
      <w:rFonts w:ascii="Century Schoolbook" w:eastAsia="Times New Roman" w:hAnsi="Century Schoolbook" w:cs="Times New Roman"/>
    </w:rPr>
  </w:style>
  <w:style w:type="paragraph" w:customStyle="1" w:styleId="dcmessage">
    <w:name w:val="dcmessage"/>
    <w:basedOn w:val="Normal"/>
    <w:rsid w:val="00CA70A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rsid w:val="00833062"/>
    <w:pPr>
      <w:spacing w:before="120" w:after="0" w:line="240" w:lineRule="auto"/>
      <w:ind w:left="120"/>
    </w:pPr>
    <w:rPr>
      <w:rFonts w:ascii="Times New Roman" w:eastAsia="Times New Roman" w:hAnsi="Times New Roman" w:cs="Times New Roman"/>
      <w:color w:val="000000"/>
      <w:lang w:eastAsia="en-GB"/>
    </w:rPr>
  </w:style>
  <w:style w:type="character" w:styleId="Hyperlink">
    <w:name w:val="Hyperlink"/>
    <w:basedOn w:val="DefaultParagraphFont"/>
    <w:uiPriority w:val="99"/>
    <w:semiHidden/>
    <w:unhideWhenUsed/>
    <w:rsid w:val="0057791A"/>
    <w:rPr>
      <w:color w:val="0000FF"/>
      <w:u w:val="single"/>
    </w:rPr>
  </w:style>
  <w:style w:type="paragraph" w:customStyle="1" w:styleId="paragraph">
    <w:name w:val="paragraph"/>
    <w:basedOn w:val="Normal"/>
    <w:rsid w:val="0034245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4245B"/>
  </w:style>
  <w:style w:type="character" w:customStyle="1" w:styleId="eop">
    <w:name w:val="eop"/>
    <w:basedOn w:val="DefaultParagraphFont"/>
    <w:rsid w:val="0034245B"/>
  </w:style>
  <w:style w:type="paragraph" w:styleId="ListParagraph">
    <w:name w:val="List Paragraph"/>
    <w:basedOn w:val="Normal"/>
    <w:uiPriority w:val="34"/>
    <w:qFormat/>
    <w:rsid w:val="00313AF3"/>
    <w:pPr>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616">
      <w:bodyDiv w:val="1"/>
      <w:marLeft w:val="0"/>
      <w:marRight w:val="0"/>
      <w:marTop w:val="0"/>
      <w:marBottom w:val="0"/>
      <w:divBdr>
        <w:top w:val="none" w:sz="0" w:space="0" w:color="auto"/>
        <w:left w:val="none" w:sz="0" w:space="0" w:color="auto"/>
        <w:bottom w:val="none" w:sz="0" w:space="0" w:color="auto"/>
        <w:right w:val="none" w:sz="0" w:space="0" w:color="auto"/>
      </w:divBdr>
    </w:div>
    <w:div w:id="728843164">
      <w:bodyDiv w:val="1"/>
      <w:marLeft w:val="0"/>
      <w:marRight w:val="0"/>
      <w:marTop w:val="0"/>
      <w:marBottom w:val="0"/>
      <w:divBdr>
        <w:top w:val="none" w:sz="0" w:space="0" w:color="auto"/>
        <w:left w:val="none" w:sz="0" w:space="0" w:color="auto"/>
        <w:bottom w:val="none" w:sz="0" w:space="0" w:color="auto"/>
        <w:right w:val="none" w:sz="0" w:space="0" w:color="auto"/>
      </w:divBdr>
    </w:div>
    <w:div w:id="870000234">
      <w:bodyDiv w:val="1"/>
      <w:marLeft w:val="0"/>
      <w:marRight w:val="0"/>
      <w:marTop w:val="0"/>
      <w:marBottom w:val="0"/>
      <w:divBdr>
        <w:top w:val="none" w:sz="0" w:space="0" w:color="auto"/>
        <w:left w:val="none" w:sz="0" w:space="0" w:color="auto"/>
        <w:bottom w:val="none" w:sz="0" w:space="0" w:color="auto"/>
        <w:right w:val="none" w:sz="0" w:space="0" w:color="auto"/>
      </w:divBdr>
      <w:divsChild>
        <w:div w:id="1731995401">
          <w:marLeft w:val="0"/>
          <w:marRight w:val="0"/>
          <w:marTop w:val="0"/>
          <w:marBottom w:val="0"/>
          <w:divBdr>
            <w:top w:val="none" w:sz="0" w:space="0" w:color="auto"/>
            <w:left w:val="none" w:sz="0" w:space="0" w:color="auto"/>
            <w:bottom w:val="none" w:sz="0" w:space="0" w:color="auto"/>
            <w:right w:val="none" w:sz="0" w:space="0" w:color="auto"/>
          </w:divBdr>
          <w:divsChild>
            <w:div w:id="2099328767">
              <w:marLeft w:val="0"/>
              <w:marRight w:val="0"/>
              <w:marTop w:val="0"/>
              <w:marBottom w:val="0"/>
              <w:divBdr>
                <w:top w:val="none" w:sz="0" w:space="0" w:color="auto"/>
                <w:left w:val="none" w:sz="0" w:space="0" w:color="auto"/>
                <w:bottom w:val="none" w:sz="0" w:space="0" w:color="auto"/>
                <w:right w:val="none" w:sz="0" w:space="0" w:color="auto"/>
              </w:divBdr>
            </w:div>
          </w:divsChild>
        </w:div>
        <w:div w:id="2110079115">
          <w:marLeft w:val="0"/>
          <w:marRight w:val="0"/>
          <w:marTop w:val="0"/>
          <w:marBottom w:val="0"/>
          <w:divBdr>
            <w:top w:val="none" w:sz="0" w:space="0" w:color="auto"/>
            <w:left w:val="none" w:sz="0" w:space="0" w:color="auto"/>
            <w:bottom w:val="none" w:sz="0" w:space="0" w:color="auto"/>
            <w:right w:val="none" w:sz="0" w:space="0" w:color="auto"/>
          </w:divBdr>
          <w:divsChild>
            <w:div w:id="579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Lawrence</dc:creator>
  <cp:keywords/>
  <dc:description/>
  <cp:lastModifiedBy>Rose Lawrence</cp:lastModifiedBy>
  <cp:revision>4</cp:revision>
  <dcterms:created xsi:type="dcterms:W3CDTF">2021-11-30T17:35:00Z</dcterms:created>
  <dcterms:modified xsi:type="dcterms:W3CDTF">2021-11-30T17:41:00Z</dcterms:modified>
</cp:coreProperties>
</file>