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7A3" w:rsidRPr="00D038C4" w:rsidRDefault="001157A3" w:rsidP="001157A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D038C4">
        <w:rPr>
          <w:rFonts w:ascii="Arial" w:eastAsia="Times New Roman" w:hAnsi="Arial" w:cs="Times New Roman"/>
          <w:b/>
          <w:sz w:val="24"/>
          <w:szCs w:val="24"/>
          <w:lang w:eastAsia="en-GB"/>
        </w:rPr>
        <w:t>Legislation</w:t>
      </w:r>
    </w:p>
    <w:p w:rsidR="001157A3" w:rsidRDefault="001157A3" w:rsidP="001157A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1157A3" w:rsidRDefault="001157A3" w:rsidP="001157A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Backdating of Universal Credit claims is governed by Regulation 26 of the UC, PIP, JSA and ESA (Claims and Payments) Regs 2013.  Please find this enclosed.  I think that the medical evidence clearly supports that Mr </w:t>
      </w:r>
      <w:r w:rsidR="00B33BC1">
        <w:rPr>
          <w:rFonts w:ascii="Arial" w:eastAsia="Times New Roman" w:hAnsi="Arial" w:cs="Times New Roman"/>
          <w:sz w:val="24"/>
          <w:szCs w:val="24"/>
          <w:lang w:eastAsia="en-GB"/>
        </w:rPr>
        <w:t>X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 meets both (3) (b) and (c) of this regulation.</w:t>
      </w:r>
    </w:p>
    <w:p w:rsidR="001157A3" w:rsidRDefault="001157A3" w:rsidP="001157A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1157A3" w:rsidRDefault="001157A3" w:rsidP="001157A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>The Secretary of State points us to Section 8 (2) of the Social Security Act 1998.  (Page F.)  I am enclosing a print out of this and Section 9 following it.  Section 8 (2) has applied to benefit decisions since 1998.  The difference with Universal Credit is that, unlike its predecessor benefits, the claim form does not ask which date a claimant wishes to make a claim from.  The Decision Maker assumes that the claimant wishes to make a claim from the date that the claim was submitted.  The Secretary of State is arguing that, once a claim has been processed, this date cannot be changed except by another claim made within one month of the first (given that one month is the maximum period of backdating).</w:t>
      </w:r>
    </w:p>
    <w:p w:rsidR="001157A3" w:rsidRDefault="001157A3" w:rsidP="001157A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1157A3" w:rsidRDefault="001157A3" w:rsidP="001157A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However, as Section 9 goes on to say, decisions can be revised for </w:t>
      </w:r>
      <w:proofErr w:type="gramStart"/>
      <w:r>
        <w:rPr>
          <w:rFonts w:ascii="Arial" w:eastAsia="Times New Roman" w:hAnsi="Arial" w:cs="Times New Roman"/>
          <w:sz w:val="24"/>
          <w:szCs w:val="24"/>
          <w:lang w:eastAsia="en-GB"/>
        </w:rPr>
        <w:t>a number of</w:t>
      </w:r>
      <w:proofErr w:type="gramEnd"/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 reasons.  Regulation 21 of the UC, PIP, JSA and ESA (D&amp;A) Regs 2013 is also relevant here.  (Please see print out.)  So technically, this appeal can be dealt with by treating the request for backdating on 03/05/19 as a late Mandatory Reconsideration of the decision of 08/01/19 to pay the claim from 04/12/18 and not an earlier date.  The medical evidence indicates that Mr </w:t>
      </w:r>
      <w:r w:rsidR="00B33BC1">
        <w:rPr>
          <w:rFonts w:ascii="Arial" w:eastAsia="Times New Roman" w:hAnsi="Arial" w:cs="Times New Roman"/>
          <w:sz w:val="24"/>
          <w:szCs w:val="24"/>
          <w:lang w:eastAsia="en-GB"/>
        </w:rPr>
        <w:t xml:space="preserve">X </w:t>
      </w:r>
      <w:bookmarkStart w:id="0" w:name="_GoBack"/>
      <w:bookmarkEnd w:id="0"/>
      <w:r>
        <w:rPr>
          <w:rFonts w:ascii="Arial" w:eastAsia="Times New Roman" w:hAnsi="Arial" w:cs="Times New Roman"/>
          <w:sz w:val="24"/>
          <w:szCs w:val="24"/>
          <w:lang w:eastAsia="en-GB"/>
        </w:rPr>
        <w:t>continued to be unwell up to and beyond the date that backdating was requested.  This appeal can then be treated as an appeal against the decision on that reconsideration.</w:t>
      </w:r>
    </w:p>
    <w:p w:rsidR="001157A3" w:rsidRDefault="001157A3" w:rsidP="001157A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1157A3" w:rsidRPr="00D038C4" w:rsidRDefault="001157A3" w:rsidP="001157A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>Regulation 3 of the UC (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en-GB"/>
        </w:rPr>
        <w:t>Misc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 Amendments, Saving and Transitional Provision) Regs 2018 makes provision for the start date of a claim to be altered after the first date of entitlement has been determined.  Please find a copy and the relevant pages from its Explanatory Memorandum enclosed.  Paragraphs 7.4 to 7.6 of the Explanatory Memorandum describe what should happen administratively in a situation when backdating is agreed after a claim has been put in payment.  This indicates that it was Parliament’s intention that claims can be backdated after the decision on them has been made.</w:t>
      </w:r>
    </w:p>
    <w:p w:rsidR="00A140E0" w:rsidRDefault="00A140E0"/>
    <w:sectPr w:rsidR="00A14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A3"/>
    <w:rsid w:val="001157A3"/>
    <w:rsid w:val="00A140E0"/>
    <w:rsid w:val="00B3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F935D"/>
  <w15:chartTrackingRefBased/>
  <w15:docId w15:val="{CAE15339-E4C1-446D-85BA-C2CEB118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7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Metropolitan Borough Council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Rogers</dc:creator>
  <cp:keywords/>
  <dc:description/>
  <cp:lastModifiedBy>Helen Rogers</cp:lastModifiedBy>
  <cp:revision>2</cp:revision>
  <dcterms:created xsi:type="dcterms:W3CDTF">2020-11-16T10:33:00Z</dcterms:created>
  <dcterms:modified xsi:type="dcterms:W3CDTF">2020-11-16T10:34:00Z</dcterms:modified>
</cp:coreProperties>
</file>