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0704" w14:textId="77777777" w:rsidR="00FA4624" w:rsidRDefault="00FA4624" w:rsidP="00FA4624">
      <w:pPr>
        <w:jc w:val="center"/>
      </w:pPr>
    </w:p>
    <w:p w14:paraId="1BD80C28" w14:textId="77777777" w:rsidR="00FA4624" w:rsidRDefault="00FA4624" w:rsidP="00FA4624">
      <w:pPr>
        <w:jc w:val="center"/>
      </w:pPr>
      <w:r>
        <w:rPr>
          <w:noProof/>
          <w:lang w:val="en-US"/>
        </w:rPr>
        <w:drawing>
          <wp:inline distT="0" distB="0" distL="0" distR="0" wp14:anchorId="691A59D0" wp14:editId="32F47993">
            <wp:extent cx="2059305" cy="1200785"/>
            <wp:effectExtent l="0" t="0" r="0" b="0"/>
            <wp:docPr id="1" name="Picture 1" descr="C:\Users\Julie.Henry\Desktop\NAWR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Henry\Desktop\NAWRA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9305" cy="1200785"/>
                    </a:xfrm>
                    <a:prstGeom prst="rect">
                      <a:avLst/>
                    </a:prstGeom>
                    <a:noFill/>
                    <a:ln>
                      <a:noFill/>
                    </a:ln>
                  </pic:spPr>
                </pic:pic>
              </a:graphicData>
            </a:graphic>
          </wp:inline>
        </w:drawing>
      </w:r>
    </w:p>
    <w:p w14:paraId="4A571CFE" w14:textId="77777777" w:rsidR="00FA4624" w:rsidRPr="00C94B2F" w:rsidRDefault="00FA4624" w:rsidP="00FA4624">
      <w:pPr>
        <w:jc w:val="center"/>
        <w:rPr>
          <w:sz w:val="48"/>
          <w:szCs w:val="48"/>
        </w:rPr>
      </w:pPr>
    </w:p>
    <w:p w14:paraId="0B001A89" w14:textId="77777777" w:rsidR="00FA4624" w:rsidRPr="00C94B2F" w:rsidRDefault="00FA4624" w:rsidP="00FA4624">
      <w:pPr>
        <w:jc w:val="center"/>
        <w:rPr>
          <w:sz w:val="48"/>
          <w:szCs w:val="48"/>
        </w:rPr>
      </w:pPr>
    </w:p>
    <w:p w14:paraId="1E06C094" w14:textId="06B96B54" w:rsidR="00FA4624" w:rsidRDefault="00EF3041" w:rsidP="00FA4624">
      <w:pPr>
        <w:jc w:val="center"/>
        <w:rPr>
          <w:rFonts w:ascii="Arial" w:hAnsi="Arial" w:cs="Arial"/>
          <w:sz w:val="48"/>
          <w:szCs w:val="48"/>
        </w:rPr>
      </w:pPr>
      <w:r>
        <w:rPr>
          <w:rFonts w:ascii="Arial" w:hAnsi="Arial" w:cs="Arial"/>
          <w:sz w:val="48"/>
          <w:szCs w:val="48"/>
        </w:rPr>
        <w:t>Public Accounts Committee</w:t>
      </w:r>
    </w:p>
    <w:p w14:paraId="0416BA32" w14:textId="3425B172" w:rsidR="00FA4624" w:rsidRPr="00C842EA" w:rsidRDefault="00EF3041" w:rsidP="00FA4624">
      <w:pPr>
        <w:jc w:val="center"/>
        <w:rPr>
          <w:rFonts w:ascii="Arial" w:hAnsi="Arial" w:cs="Arial"/>
          <w:sz w:val="48"/>
          <w:szCs w:val="48"/>
        </w:rPr>
      </w:pPr>
      <w:r>
        <w:rPr>
          <w:rFonts w:ascii="Arial" w:hAnsi="Arial" w:cs="Arial"/>
          <w:sz w:val="48"/>
          <w:szCs w:val="48"/>
        </w:rPr>
        <w:t>Employment and support allowance</w:t>
      </w:r>
      <w:r w:rsidR="00FA4624">
        <w:rPr>
          <w:rFonts w:ascii="Arial" w:hAnsi="Arial" w:cs="Arial"/>
          <w:sz w:val="48"/>
          <w:szCs w:val="48"/>
        </w:rPr>
        <w:t xml:space="preserve"> inquiry</w:t>
      </w:r>
    </w:p>
    <w:p w14:paraId="76F1CE20" w14:textId="77777777" w:rsidR="00FA4624" w:rsidRPr="00C842EA" w:rsidRDefault="00FA4624" w:rsidP="00FA4624">
      <w:pPr>
        <w:jc w:val="center"/>
        <w:rPr>
          <w:rFonts w:ascii="Arial" w:hAnsi="Arial" w:cs="Arial"/>
          <w:sz w:val="48"/>
          <w:szCs w:val="48"/>
        </w:rPr>
      </w:pPr>
      <w:r w:rsidRPr="00C842EA">
        <w:rPr>
          <w:rFonts w:ascii="Arial" w:hAnsi="Arial" w:cs="Arial"/>
          <w:noProof/>
          <w:sz w:val="48"/>
          <w:szCs w:val="48"/>
          <w:lang w:val="en-US"/>
        </w:rPr>
        <mc:AlternateContent>
          <mc:Choice Requires="wps">
            <w:drawing>
              <wp:anchor distT="0" distB="0" distL="114300" distR="114300" simplePos="0" relativeHeight="251659264" behindDoc="0" locked="0" layoutInCell="1" allowOverlap="1" wp14:anchorId="67E8BD4A" wp14:editId="66B2A542">
                <wp:simplePos x="0" y="0"/>
                <wp:positionH relativeFrom="column">
                  <wp:posOffset>500931</wp:posOffset>
                </wp:positionH>
                <wp:positionV relativeFrom="paragraph">
                  <wp:posOffset>550435</wp:posOffset>
                </wp:positionV>
                <wp:extent cx="5088835" cy="0"/>
                <wp:effectExtent l="38100" t="38100" r="55245" b="95250"/>
                <wp:wrapNone/>
                <wp:docPr id="2" name="Straight Connector 2"/>
                <wp:cNvGraphicFramePr/>
                <a:graphic xmlns:a="http://schemas.openxmlformats.org/drawingml/2006/main">
                  <a:graphicData uri="http://schemas.microsoft.com/office/word/2010/wordprocessingShape">
                    <wps:wsp>
                      <wps:cNvCnPr/>
                      <wps:spPr>
                        <a:xfrm>
                          <a:off x="0" y="0"/>
                          <a:ext cx="5088835"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45pt,43.35pt" to="440.15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" strokecolor="black [3200]" strokeweight="2pt">
                <v:shadow on="t" opacity="24903f" mv:blur="40000f" origin=",.5" offset="0,20000emu"/>
              </v:line>
            </w:pict>
          </mc:Fallback>
        </mc:AlternateContent>
      </w:r>
    </w:p>
    <w:p w14:paraId="357DAA25" w14:textId="77777777" w:rsidR="00FA4624" w:rsidRPr="00C842EA" w:rsidRDefault="00FA4624" w:rsidP="00FA4624">
      <w:pPr>
        <w:jc w:val="center"/>
        <w:rPr>
          <w:rFonts w:ascii="Arial" w:hAnsi="Arial" w:cs="Arial"/>
          <w:sz w:val="48"/>
          <w:szCs w:val="48"/>
        </w:rPr>
      </w:pPr>
    </w:p>
    <w:p w14:paraId="30F5257C" w14:textId="251544A6" w:rsidR="00FA4624" w:rsidRPr="00C842EA" w:rsidRDefault="00FA4624" w:rsidP="00FA4624">
      <w:pPr>
        <w:jc w:val="center"/>
        <w:rPr>
          <w:rFonts w:ascii="Arial" w:hAnsi="Arial" w:cs="Arial"/>
          <w:sz w:val="48"/>
          <w:szCs w:val="48"/>
        </w:rPr>
      </w:pPr>
      <w:r w:rsidRPr="00C842EA">
        <w:rPr>
          <w:rFonts w:ascii="Arial" w:hAnsi="Arial" w:cs="Arial"/>
          <w:sz w:val="48"/>
          <w:szCs w:val="48"/>
        </w:rPr>
        <w:t>NAWRA Response</w:t>
      </w:r>
    </w:p>
    <w:p w14:paraId="47ABC9EF" w14:textId="77777777" w:rsidR="00FA4624" w:rsidRPr="00C842EA" w:rsidRDefault="00FA4624" w:rsidP="00FA4624">
      <w:pPr>
        <w:jc w:val="center"/>
        <w:rPr>
          <w:rFonts w:ascii="Arial" w:hAnsi="Arial" w:cs="Arial"/>
          <w:sz w:val="48"/>
          <w:szCs w:val="48"/>
        </w:rPr>
      </w:pPr>
    </w:p>
    <w:p w14:paraId="246E9F08" w14:textId="194A2CAA" w:rsidR="00FA4624" w:rsidRPr="00C842EA" w:rsidRDefault="00EF3041" w:rsidP="00FA4624">
      <w:pPr>
        <w:jc w:val="center"/>
        <w:rPr>
          <w:rFonts w:ascii="Arial" w:hAnsi="Arial" w:cs="Arial"/>
          <w:sz w:val="48"/>
          <w:szCs w:val="48"/>
        </w:rPr>
      </w:pPr>
      <w:r>
        <w:rPr>
          <w:rFonts w:ascii="Arial" w:hAnsi="Arial" w:cs="Arial"/>
          <w:sz w:val="48"/>
          <w:szCs w:val="48"/>
        </w:rPr>
        <w:t>May 2018</w:t>
      </w:r>
    </w:p>
    <w:p w14:paraId="42D7BB24" w14:textId="77777777" w:rsidR="00FA4624" w:rsidRPr="00C842EA" w:rsidRDefault="00FA4624" w:rsidP="00FA4624">
      <w:pPr>
        <w:jc w:val="center"/>
        <w:rPr>
          <w:rFonts w:ascii="Arial" w:hAnsi="Arial" w:cs="Arial"/>
        </w:rPr>
      </w:pPr>
    </w:p>
    <w:p w14:paraId="6933279F" w14:textId="77777777" w:rsidR="00FA4624" w:rsidRPr="00C842EA" w:rsidRDefault="00FA4624" w:rsidP="00FA4624">
      <w:pPr>
        <w:jc w:val="center"/>
        <w:rPr>
          <w:rFonts w:ascii="Arial" w:hAnsi="Arial" w:cs="Arial"/>
        </w:rPr>
      </w:pPr>
    </w:p>
    <w:p w14:paraId="6A83ECE7" w14:textId="77777777" w:rsidR="00FA4624" w:rsidRPr="00C842EA" w:rsidRDefault="00FA4624" w:rsidP="00FA4624">
      <w:pPr>
        <w:jc w:val="center"/>
        <w:rPr>
          <w:rFonts w:ascii="Arial" w:hAnsi="Arial" w:cs="Arial"/>
        </w:rPr>
      </w:pPr>
    </w:p>
    <w:p w14:paraId="62245A91" w14:textId="77777777" w:rsidR="00FA4624" w:rsidRPr="00C842EA" w:rsidRDefault="00FA4624" w:rsidP="00FA4624">
      <w:pPr>
        <w:jc w:val="center"/>
        <w:rPr>
          <w:rFonts w:ascii="Arial" w:hAnsi="Arial" w:cs="Arial"/>
        </w:rPr>
      </w:pPr>
    </w:p>
    <w:p w14:paraId="27B36829" w14:textId="6353E0FD" w:rsidR="00FA4624" w:rsidRPr="00C842EA" w:rsidRDefault="00FA4624" w:rsidP="00FA4624">
      <w:pPr>
        <w:jc w:val="center"/>
        <w:rPr>
          <w:rFonts w:ascii="Arial" w:hAnsi="Arial" w:cs="Arial"/>
          <w:sz w:val="16"/>
          <w:szCs w:val="16"/>
        </w:rPr>
      </w:pPr>
      <w:r w:rsidRPr="00C842EA">
        <w:rPr>
          <w:rFonts w:ascii="Arial" w:hAnsi="Arial" w:cs="Arial"/>
          <w:b/>
          <w:sz w:val="16"/>
          <w:szCs w:val="16"/>
        </w:rPr>
        <w:t>NAWRA</w:t>
      </w:r>
      <w:r w:rsidRPr="00C842EA">
        <w:rPr>
          <w:rFonts w:ascii="Arial" w:hAnsi="Arial" w:cs="Arial"/>
          <w:sz w:val="16"/>
          <w:szCs w:val="16"/>
        </w:rPr>
        <w:t>: Secretary - Kelly Smith C/O CPAG,</w:t>
      </w:r>
      <w:r w:rsidR="000035D8">
        <w:rPr>
          <w:rFonts w:ascii="Arial" w:hAnsi="Arial" w:cs="Arial"/>
          <w:sz w:val="16"/>
          <w:szCs w:val="16"/>
        </w:rPr>
        <w:t xml:space="preserve"> 30 Micawber Street</w:t>
      </w:r>
      <w:r w:rsidRPr="00C842EA">
        <w:rPr>
          <w:rFonts w:ascii="Arial" w:hAnsi="Arial" w:cs="Arial"/>
          <w:sz w:val="16"/>
          <w:szCs w:val="16"/>
        </w:rPr>
        <w:t xml:space="preserve">, London N1 </w:t>
      </w:r>
      <w:r w:rsidR="000035D8">
        <w:rPr>
          <w:rFonts w:ascii="Arial" w:hAnsi="Arial" w:cs="Arial"/>
          <w:sz w:val="16"/>
          <w:szCs w:val="16"/>
        </w:rPr>
        <w:t>7TB</w:t>
      </w:r>
      <w:r w:rsidRPr="00C842EA">
        <w:rPr>
          <w:rFonts w:ascii="Arial" w:hAnsi="Arial" w:cs="Arial"/>
          <w:sz w:val="16"/>
          <w:szCs w:val="16"/>
        </w:rPr>
        <w:t xml:space="preserve">  Tel: 02078125232 email: </w:t>
      </w:r>
      <w:hyperlink r:id="rId9" w:history="1">
        <w:r w:rsidRPr="00C842EA">
          <w:rPr>
            <w:rStyle w:val="Hyperlink"/>
            <w:rFonts w:ascii="Arial" w:hAnsi="Arial" w:cs="Arial"/>
            <w:sz w:val="16"/>
            <w:szCs w:val="16"/>
          </w:rPr>
          <w:t>Kelly@nawra.org.uk</w:t>
        </w:r>
      </w:hyperlink>
      <w:r w:rsidRPr="00C842EA">
        <w:rPr>
          <w:rFonts w:ascii="Arial" w:hAnsi="Arial" w:cs="Arial"/>
          <w:sz w:val="16"/>
          <w:szCs w:val="16"/>
        </w:rPr>
        <w:t xml:space="preserve"> </w:t>
      </w:r>
    </w:p>
    <w:p w14:paraId="28AFAD8F" w14:textId="77777777" w:rsidR="00FA4624" w:rsidRPr="00C842EA" w:rsidRDefault="00FA4624" w:rsidP="00FA4624">
      <w:pPr>
        <w:jc w:val="center"/>
        <w:rPr>
          <w:rFonts w:ascii="Arial" w:hAnsi="Arial" w:cs="Arial"/>
          <w:sz w:val="16"/>
          <w:szCs w:val="16"/>
        </w:rPr>
      </w:pPr>
      <w:r w:rsidRPr="00C842EA">
        <w:rPr>
          <w:rFonts w:ascii="Arial" w:hAnsi="Arial" w:cs="Arial"/>
          <w:sz w:val="16"/>
          <w:szCs w:val="16"/>
        </w:rPr>
        <w:t>web: www.nawra.org.uk</w:t>
      </w:r>
    </w:p>
    <w:p w14:paraId="3C99735E" w14:textId="3AEF7AA6" w:rsidR="00EF3041" w:rsidRPr="00C842EA" w:rsidRDefault="00FA4624" w:rsidP="00EF3041">
      <w:pPr>
        <w:jc w:val="both"/>
        <w:rPr>
          <w:rFonts w:ascii="Arial" w:hAnsi="Arial" w:cs="Arial"/>
          <w:b/>
          <w:sz w:val="36"/>
          <w:szCs w:val="36"/>
        </w:rPr>
      </w:pPr>
      <w:r>
        <w:br w:type="page"/>
      </w:r>
      <w:r w:rsidR="00EF3041" w:rsidRPr="00C842EA">
        <w:rPr>
          <w:rFonts w:ascii="Arial" w:hAnsi="Arial" w:cs="Arial"/>
          <w:b/>
          <w:sz w:val="36"/>
          <w:szCs w:val="36"/>
        </w:rPr>
        <w:lastRenderedPageBreak/>
        <w:t xml:space="preserve">The National Association of Welfare Rights Advisers </w:t>
      </w:r>
    </w:p>
    <w:p w14:paraId="65EBC17A" w14:textId="6A4B30DB" w:rsidR="00EF3041" w:rsidRPr="00C842EA" w:rsidRDefault="00EF3041" w:rsidP="00EF3041">
      <w:pPr>
        <w:pStyle w:val="ListParagraph"/>
        <w:numPr>
          <w:ilvl w:val="0"/>
          <w:numId w:val="9"/>
        </w:numPr>
        <w:spacing w:after="160" w:line="240" w:lineRule="auto"/>
        <w:jc w:val="both"/>
        <w:rPr>
          <w:rFonts w:ascii="Arial" w:hAnsi="Arial" w:cs="Arial"/>
          <w:sz w:val="24"/>
          <w:szCs w:val="24"/>
        </w:rPr>
      </w:pPr>
      <w:r w:rsidRPr="00C842EA">
        <w:rPr>
          <w:rFonts w:ascii="Arial" w:hAnsi="Arial" w:cs="Arial"/>
          <w:sz w:val="24"/>
          <w:szCs w:val="24"/>
        </w:rPr>
        <w:t xml:space="preserve">The National Association of Welfare Rights Advisers (NAWRA) was established in 1992 and represents advisers from local authorities, the voluntary sector, trade unions, solicitors, and other organisations who provide legal advice on social security and tax credits. </w:t>
      </w:r>
      <w:r w:rsidR="000B081C">
        <w:rPr>
          <w:rFonts w:ascii="Arial" w:hAnsi="Arial" w:cs="Arial"/>
          <w:sz w:val="24"/>
          <w:szCs w:val="24"/>
        </w:rPr>
        <w:t>NAWRA currently has more than 20</w:t>
      </w:r>
      <w:r w:rsidRPr="00C842EA">
        <w:rPr>
          <w:rFonts w:ascii="Arial" w:hAnsi="Arial" w:cs="Arial"/>
          <w:sz w:val="24"/>
          <w:szCs w:val="24"/>
        </w:rPr>
        <w:t>0 member organisations.</w:t>
      </w:r>
    </w:p>
    <w:p w14:paraId="206A477B" w14:textId="77777777" w:rsidR="00EF3041" w:rsidRPr="00C842EA" w:rsidRDefault="00EF3041" w:rsidP="00EF3041">
      <w:pPr>
        <w:pStyle w:val="ListParagraph"/>
        <w:spacing w:line="240" w:lineRule="auto"/>
        <w:ind w:left="360"/>
        <w:jc w:val="both"/>
        <w:rPr>
          <w:rFonts w:ascii="Arial" w:hAnsi="Arial" w:cs="Arial"/>
          <w:sz w:val="24"/>
          <w:szCs w:val="24"/>
        </w:rPr>
      </w:pPr>
    </w:p>
    <w:p w14:paraId="2844EB37" w14:textId="77777777" w:rsidR="00EF3041" w:rsidRPr="00C842EA" w:rsidRDefault="00EF3041" w:rsidP="00EF3041">
      <w:pPr>
        <w:pStyle w:val="ListParagraph"/>
        <w:numPr>
          <w:ilvl w:val="0"/>
          <w:numId w:val="9"/>
        </w:numPr>
        <w:spacing w:after="160" w:line="240" w:lineRule="auto"/>
        <w:jc w:val="both"/>
        <w:rPr>
          <w:rFonts w:ascii="Arial" w:hAnsi="Arial" w:cs="Arial"/>
          <w:sz w:val="24"/>
          <w:szCs w:val="24"/>
        </w:rPr>
      </w:pPr>
      <w:r w:rsidRPr="00C842EA">
        <w:rPr>
          <w:rFonts w:ascii="Arial" w:hAnsi="Arial" w:cs="Arial"/>
          <w:sz w:val="24"/>
          <w:szCs w:val="24"/>
        </w:rPr>
        <w:t>We strive to challenge, influence and improve welfare rights policy and legislation, as well as identifying and sharing good practice amongst our members.</w:t>
      </w:r>
    </w:p>
    <w:p w14:paraId="770052ED" w14:textId="77777777" w:rsidR="00EF3041" w:rsidRPr="00C842EA" w:rsidRDefault="00EF3041" w:rsidP="00EF3041">
      <w:pPr>
        <w:pStyle w:val="ListParagraph"/>
        <w:rPr>
          <w:rFonts w:ascii="Arial" w:hAnsi="Arial" w:cs="Arial"/>
          <w:sz w:val="24"/>
          <w:szCs w:val="24"/>
        </w:rPr>
      </w:pPr>
    </w:p>
    <w:p w14:paraId="627A45E8" w14:textId="0D8B7AB7" w:rsidR="00EF3041" w:rsidRPr="00C842EA" w:rsidRDefault="00EF3041" w:rsidP="00EF3041">
      <w:pPr>
        <w:pStyle w:val="ListParagraph"/>
        <w:numPr>
          <w:ilvl w:val="0"/>
          <w:numId w:val="9"/>
        </w:numPr>
        <w:spacing w:after="160" w:line="240" w:lineRule="auto"/>
        <w:jc w:val="both"/>
        <w:rPr>
          <w:rFonts w:ascii="Arial" w:hAnsi="Arial" w:cs="Arial"/>
          <w:sz w:val="24"/>
          <w:szCs w:val="24"/>
        </w:rPr>
      </w:pPr>
      <w:r w:rsidRPr="00C842EA">
        <w:rPr>
          <w:rFonts w:ascii="Arial" w:hAnsi="Arial" w:cs="Arial"/>
          <w:sz w:val="24"/>
          <w:szCs w:val="24"/>
        </w:rPr>
        <w:t xml:space="preserve">NAWRA holds </w:t>
      </w:r>
      <w:r w:rsidR="00824BD5">
        <w:rPr>
          <w:rFonts w:ascii="Arial" w:hAnsi="Arial" w:cs="Arial"/>
          <w:sz w:val="24"/>
          <w:szCs w:val="24"/>
        </w:rPr>
        <w:t>four</w:t>
      </w:r>
      <w:r w:rsidRPr="00C842EA">
        <w:rPr>
          <w:rFonts w:ascii="Arial" w:hAnsi="Arial" w:cs="Arial"/>
          <w:sz w:val="24"/>
          <w:szCs w:val="24"/>
        </w:rPr>
        <w:t xml:space="preserve"> conferences throughout the year across the UK, attended by members from all sectors of the industry. An integral part of these events are workshops that help to develop and lead good practice.</w:t>
      </w:r>
    </w:p>
    <w:p w14:paraId="07D8C035" w14:textId="77777777" w:rsidR="00EF3041" w:rsidRPr="00C842EA" w:rsidRDefault="00EF3041" w:rsidP="00EF3041">
      <w:pPr>
        <w:pStyle w:val="ListParagraph"/>
        <w:rPr>
          <w:rFonts w:ascii="Arial" w:hAnsi="Arial" w:cs="Arial"/>
          <w:sz w:val="24"/>
          <w:szCs w:val="24"/>
        </w:rPr>
      </w:pPr>
    </w:p>
    <w:p w14:paraId="21526C73" w14:textId="77777777" w:rsidR="00EF3041" w:rsidRPr="00C842EA" w:rsidRDefault="00EF3041" w:rsidP="00EF3041">
      <w:pPr>
        <w:pStyle w:val="ListParagraph"/>
        <w:numPr>
          <w:ilvl w:val="0"/>
          <w:numId w:val="9"/>
        </w:numPr>
        <w:spacing w:after="0" w:line="240" w:lineRule="auto"/>
        <w:jc w:val="both"/>
        <w:rPr>
          <w:rFonts w:ascii="Arial" w:hAnsi="Arial" w:cs="Arial"/>
          <w:sz w:val="24"/>
          <w:szCs w:val="24"/>
        </w:rPr>
      </w:pPr>
      <w:r w:rsidRPr="00C842EA">
        <w:rPr>
          <w:rFonts w:ascii="Arial" w:hAnsi="Arial" w:cs="Arial"/>
          <w:sz w:val="24"/>
          <w:szCs w:val="24"/>
        </w:rPr>
        <w:t xml:space="preserve">Our members have much experience in providing both front line legal advice on benefits and in providing training and information as well as policy support and development. As such NAWRA is able to bring much knowledge and insight to this consultation exercise. </w:t>
      </w:r>
    </w:p>
    <w:p w14:paraId="72173E48" w14:textId="77777777" w:rsidR="00EF3041" w:rsidRPr="00C842EA" w:rsidRDefault="00EF3041" w:rsidP="00EF3041">
      <w:pPr>
        <w:pStyle w:val="ListParagraph"/>
        <w:rPr>
          <w:rFonts w:ascii="Arial" w:hAnsi="Arial" w:cs="Arial"/>
          <w:sz w:val="24"/>
          <w:szCs w:val="24"/>
        </w:rPr>
      </w:pPr>
    </w:p>
    <w:p w14:paraId="00BD4D71" w14:textId="77777777" w:rsidR="00EF3041" w:rsidRPr="00C842EA" w:rsidRDefault="00EF3041" w:rsidP="00EF3041">
      <w:pPr>
        <w:pStyle w:val="ListParagraph"/>
        <w:numPr>
          <w:ilvl w:val="0"/>
          <w:numId w:val="9"/>
        </w:numPr>
        <w:spacing w:after="0" w:line="240" w:lineRule="auto"/>
        <w:jc w:val="both"/>
        <w:rPr>
          <w:rFonts w:ascii="Arial" w:hAnsi="Arial" w:cs="Arial"/>
          <w:sz w:val="24"/>
          <w:szCs w:val="24"/>
        </w:rPr>
      </w:pPr>
      <w:r w:rsidRPr="00C842EA">
        <w:rPr>
          <w:rFonts w:ascii="Arial" w:hAnsi="Arial" w:cs="Arial"/>
          <w:sz w:val="24"/>
          <w:szCs w:val="24"/>
        </w:rPr>
        <w:t>NAWRA is happy to be contacted to provide clarification on anything contained within this document. NAWRA is happy for details and contents of this response to be made public.</w:t>
      </w:r>
    </w:p>
    <w:p w14:paraId="79509022" w14:textId="77777777" w:rsidR="00EF3041" w:rsidRPr="00C842EA" w:rsidRDefault="00EF3041" w:rsidP="00EF3041">
      <w:pPr>
        <w:jc w:val="both"/>
        <w:rPr>
          <w:rFonts w:ascii="Arial" w:hAnsi="Arial" w:cs="Arial"/>
          <w:sz w:val="24"/>
          <w:szCs w:val="24"/>
        </w:rPr>
      </w:pPr>
    </w:p>
    <w:p w14:paraId="22B66F60" w14:textId="06CC0B7E" w:rsidR="00EF3041" w:rsidRPr="00C842EA" w:rsidRDefault="00EF3041" w:rsidP="00EF3041">
      <w:pPr>
        <w:jc w:val="both"/>
        <w:rPr>
          <w:rFonts w:ascii="Arial" w:hAnsi="Arial" w:cs="Arial"/>
          <w:b/>
          <w:sz w:val="24"/>
          <w:szCs w:val="24"/>
        </w:rPr>
      </w:pPr>
      <w:r>
        <w:rPr>
          <w:rFonts w:ascii="Arial" w:hAnsi="Arial" w:cs="Arial"/>
          <w:b/>
          <w:sz w:val="36"/>
          <w:szCs w:val="36"/>
        </w:rPr>
        <w:t>Executive summary</w:t>
      </w:r>
    </w:p>
    <w:p w14:paraId="1F02BB20" w14:textId="6C1956D2" w:rsidR="00D9690B" w:rsidRDefault="00EF3041" w:rsidP="00C35C29">
      <w:pPr>
        <w:pStyle w:val="ListParagraph"/>
        <w:numPr>
          <w:ilvl w:val="0"/>
          <w:numId w:val="13"/>
        </w:numPr>
        <w:rPr>
          <w:rFonts w:ascii="Arial" w:hAnsi="Arial" w:cs="Arial"/>
          <w:sz w:val="24"/>
          <w:szCs w:val="24"/>
        </w:rPr>
      </w:pPr>
      <w:r w:rsidRPr="00D9690B">
        <w:rPr>
          <w:rFonts w:ascii="Arial" w:hAnsi="Arial" w:cs="Arial"/>
          <w:sz w:val="24"/>
          <w:szCs w:val="24"/>
        </w:rPr>
        <w:t>This response is informed by a survey of NAWRA members carried out in the first week of May 2018 and the rightsnet discussion forum thread</w:t>
      </w:r>
      <w:r>
        <w:rPr>
          <w:rStyle w:val="FootnoteReference"/>
          <w:rFonts w:ascii="Arial" w:hAnsi="Arial" w:cs="Arial"/>
          <w:sz w:val="24"/>
          <w:szCs w:val="24"/>
        </w:rPr>
        <w:footnoteReference w:id="1"/>
      </w:r>
      <w:r w:rsidR="005656C1">
        <w:rPr>
          <w:rFonts w:ascii="Arial" w:hAnsi="Arial" w:cs="Arial"/>
          <w:sz w:val="24"/>
          <w:szCs w:val="24"/>
        </w:rPr>
        <w:t>. Rightsnet is a social welfare law website that is used by thousands of advisers across the UK every day</w:t>
      </w:r>
      <w:r w:rsidR="005656C1">
        <w:rPr>
          <w:rStyle w:val="FootnoteReference"/>
          <w:rFonts w:ascii="Arial" w:hAnsi="Arial" w:cs="Arial"/>
          <w:sz w:val="24"/>
          <w:szCs w:val="24"/>
        </w:rPr>
        <w:footnoteReference w:id="2"/>
      </w:r>
      <w:r w:rsidR="00E61AEF">
        <w:rPr>
          <w:rFonts w:ascii="Arial" w:hAnsi="Arial" w:cs="Arial"/>
          <w:sz w:val="24"/>
          <w:szCs w:val="24"/>
        </w:rPr>
        <w:t>.</w:t>
      </w:r>
      <w:r w:rsidRPr="00D9690B">
        <w:rPr>
          <w:rFonts w:ascii="Arial" w:hAnsi="Arial" w:cs="Arial"/>
          <w:sz w:val="24"/>
          <w:szCs w:val="24"/>
        </w:rPr>
        <w:t xml:space="preserve"> </w:t>
      </w:r>
      <w:r w:rsidR="00E61AEF">
        <w:rPr>
          <w:rFonts w:ascii="Arial" w:hAnsi="Arial" w:cs="Arial"/>
          <w:sz w:val="24"/>
          <w:szCs w:val="24"/>
        </w:rPr>
        <w:t>The discussion thread on th</w:t>
      </w:r>
      <w:r w:rsidRPr="00D9690B">
        <w:rPr>
          <w:rFonts w:ascii="Arial" w:hAnsi="Arial" w:cs="Arial"/>
          <w:sz w:val="24"/>
          <w:szCs w:val="24"/>
        </w:rPr>
        <w:t xml:space="preserve">e subject </w:t>
      </w:r>
      <w:r w:rsidR="00E61AEF">
        <w:rPr>
          <w:rFonts w:ascii="Arial" w:hAnsi="Arial" w:cs="Arial"/>
          <w:sz w:val="24"/>
          <w:szCs w:val="24"/>
        </w:rPr>
        <w:t>of migration from incapacity benefit to employment and support allowance</w:t>
      </w:r>
      <w:r w:rsidRPr="00D9690B">
        <w:rPr>
          <w:rFonts w:ascii="Arial" w:hAnsi="Arial" w:cs="Arial"/>
          <w:sz w:val="24"/>
          <w:szCs w:val="24"/>
        </w:rPr>
        <w:t xml:space="preserve"> has been active since February 2014 and, at the time of writing</w:t>
      </w:r>
      <w:r w:rsidR="00D90577">
        <w:rPr>
          <w:rFonts w:ascii="Arial" w:hAnsi="Arial" w:cs="Arial"/>
          <w:sz w:val="24"/>
          <w:szCs w:val="24"/>
        </w:rPr>
        <w:t>,</w:t>
      </w:r>
      <w:r w:rsidR="00E61AEF">
        <w:rPr>
          <w:rFonts w:ascii="Arial" w:hAnsi="Arial" w:cs="Arial"/>
          <w:sz w:val="24"/>
          <w:szCs w:val="24"/>
        </w:rPr>
        <w:t xml:space="preserve"> has had 307</w:t>
      </w:r>
      <w:r w:rsidRPr="00D9690B">
        <w:rPr>
          <w:rFonts w:ascii="Arial" w:hAnsi="Arial" w:cs="Arial"/>
          <w:sz w:val="24"/>
          <w:szCs w:val="24"/>
        </w:rPr>
        <w:t xml:space="preserve"> replies and </w:t>
      </w:r>
      <w:r w:rsidR="00E61AEF">
        <w:rPr>
          <w:rFonts w:ascii="Arial" w:hAnsi="Arial" w:cs="Arial"/>
          <w:sz w:val="24"/>
          <w:szCs w:val="24"/>
        </w:rPr>
        <w:t>116,215</w:t>
      </w:r>
      <w:r w:rsidRPr="00D9690B">
        <w:rPr>
          <w:rFonts w:ascii="Arial" w:hAnsi="Arial" w:cs="Arial"/>
          <w:sz w:val="24"/>
          <w:szCs w:val="24"/>
        </w:rPr>
        <w:t xml:space="preserve"> views – the longest discussion thread in the entire forum.</w:t>
      </w:r>
      <w:r w:rsidR="00C35C29">
        <w:rPr>
          <w:rFonts w:ascii="Arial" w:hAnsi="Arial" w:cs="Arial"/>
          <w:sz w:val="24"/>
          <w:szCs w:val="24"/>
        </w:rPr>
        <w:br/>
      </w:r>
    </w:p>
    <w:p w14:paraId="6BE6E833" w14:textId="0250967E" w:rsidR="00D9690B" w:rsidRDefault="00C35C29" w:rsidP="00E61AEF">
      <w:pPr>
        <w:pStyle w:val="ListParagraph"/>
        <w:numPr>
          <w:ilvl w:val="0"/>
          <w:numId w:val="37"/>
        </w:numPr>
        <w:jc w:val="both"/>
        <w:rPr>
          <w:rFonts w:ascii="Arial" w:hAnsi="Arial" w:cs="Arial"/>
          <w:sz w:val="24"/>
          <w:szCs w:val="24"/>
        </w:rPr>
      </w:pPr>
      <w:r w:rsidRPr="00C35C29">
        <w:rPr>
          <w:rFonts w:ascii="Arial" w:hAnsi="Arial" w:cs="Arial"/>
          <w:sz w:val="24"/>
          <w:szCs w:val="24"/>
        </w:rPr>
        <w:t xml:space="preserve">The </w:t>
      </w:r>
      <w:r>
        <w:rPr>
          <w:rFonts w:ascii="Arial" w:hAnsi="Arial" w:cs="Arial"/>
          <w:sz w:val="24"/>
          <w:szCs w:val="24"/>
        </w:rPr>
        <w:t xml:space="preserve">DWP has maintained that, although </w:t>
      </w:r>
      <w:r w:rsidR="00C74773">
        <w:rPr>
          <w:rFonts w:ascii="Arial" w:hAnsi="Arial" w:cs="Arial"/>
          <w:sz w:val="24"/>
          <w:szCs w:val="24"/>
        </w:rPr>
        <w:t xml:space="preserve">admitting </w:t>
      </w:r>
      <w:r>
        <w:rPr>
          <w:rFonts w:ascii="Arial" w:hAnsi="Arial" w:cs="Arial"/>
          <w:sz w:val="24"/>
          <w:szCs w:val="24"/>
        </w:rPr>
        <w:t xml:space="preserve">it was at fault in not assessing claimants for </w:t>
      </w:r>
      <w:r w:rsidR="00E61AEF">
        <w:rPr>
          <w:rFonts w:ascii="Arial" w:hAnsi="Arial" w:cs="Arial"/>
          <w:sz w:val="24"/>
          <w:szCs w:val="24"/>
        </w:rPr>
        <w:t>income-related employment and support allowance (irESA)</w:t>
      </w:r>
      <w:r>
        <w:rPr>
          <w:rFonts w:ascii="Arial" w:hAnsi="Arial" w:cs="Arial"/>
          <w:sz w:val="24"/>
          <w:szCs w:val="24"/>
        </w:rPr>
        <w:t xml:space="preserve"> at the point of migration, any backdating should be limited to </w:t>
      </w:r>
      <w:r w:rsidR="00157972">
        <w:rPr>
          <w:rFonts w:ascii="Arial" w:hAnsi="Arial" w:cs="Arial"/>
          <w:sz w:val="24"/>
          <w:szCs w:val="24"/>
        </w:rPr>
        <w:t>2</w:t>
      </w:r>
      <w:r>
        <w:rPr>
          <w:rFonts w:ascii="Arial" w:hAnsi="Arial" w:cs="Arial"/>
          <w:sz w:val="24"/>
          <w:szCs w:val="24"/>
        </w:rPr>
        <w:t xml:space="preserve">1 October 2014 on the basis that the decision in </w:t>
      </w:r>
      <w:r>
        <w:rPr>
          <w:rFonts w:ascii="Arial" w:hAnsi="Arial" w:cs="Arial"/>
          <w:i/>
          <w:sz w:val="24"/>
          <w:szCs w:val="24"/>
        </w:rPr>
        <w:t>LH v SSWP [205] AACR 14</w:t>
      </w:r>
      <w:r>
        <w:rPr>
          <w:rStyle w:val="FootnoteReference"/>
          <w:rFonts w:ascii="Arial" w:hAnsi="Arial" w:cs="Arial"/>
          <w:i/>
          <w:sz w:val="24"/>
          <w:szCs w:val="24"/>
        </w:rPr>
        <w:footnoteReference w:id="3"/>
      </w:r>
      <w:r>
        <w:rPr>
          <w:rFonts w:ascii="Arial" w:hAnsi="Arial" w:cs="Arial"/>
          <w:sz w:val="24"/>
          <w:szCs w:val="24"/>
        </w:rPr>
        <w:t xml:space="preserve"> interpreted the </w:t>
      </w:r>
      <w:r w:rsidR="007C3FEF">
        <w:rPr>
          <w:rFonts w:ascii="Arial" w:hAnsi="Arial" w:cs="Arial"/>
          <w:sz w:val="24"/>
          <w:szCs w:val="24"/>
        </w:rPr>
        <w:t xml:space="preserve">relevant </w:t>
      </w:r>
      <w:r>
        <w:rPr>
          <w:rFonts w:ascii="Arial" w:hAnsi="Arial" w:cs="Arial"/>
          <w:sz w:val="24"/>
          <w:szCs w:val="24"/>
        </w:rPr>
        <w:t>legislation and is regarded as a ‘test case’.</w:t>
      </w:r>
    </w:p>
    <w:p w14:paraId="68AA004A" w14:textId="77777777" w:rsidR="00E61AEF" w:rsidRDefault="00E61AEF" w:rsidP="00E61AEF">
      <w:pPr>
        <w:jc w:val="both"/>
        <w:rPr>
          <w:rFonts w:ascii="Arial" w:hAnsi="Arial" w:cs="Arial"/>
          <w:sz w:val="24"/>
          <w:szCs w:val="24"/>
        </w:rPr>
      </w:pPr>
    </w:p>
    <w:p w14:paraId="7397B3DE" w14:textId="77777777" w:rsidR="00E61AEF" w:rsidRDefault="00E61AEF" w:rsidP="00E61AEF">
      <w:pPr>
        <w:jc w:val="both"/>
        <w:rPr>
          <w:rFonts w:ascii="Arial" w:hAnsi="Arial" w:cs="Arial"/>
          <w:sz w:val="24"/>
          <w:szCs w:val="24"/>
        </w:rPr>
      </w:pPr>
    </w:p>
    <w:p w14:paraId="1DDC452F" w14:textId="77777777" w:rsidR="00E61AEF" w:rsidRPr="00E61AEF" w:rsidRDefault="00E61AEF" w:rsidP="00E61AEF">
      <w:pPr>
        <w:jc w:val="both"/>
        <w:rPr>
          <w:rFonts w:ascii="Arial" w:hAnsi="Arial" w:cs="Arial"/>
          <w:sz w:val="24"/>
          <w:szCs w:val="24"/>
        </w:rPr>
      </w:pPr>
    </w:p>
    <w:p w14:paraId="7773B1DE" w14:textId="41228CAA" w:rsidR="00EF3041" w:rsidRDefault="00EF3041" w:rsidP="00C35C29">
      <w:pPr>
        <w:pStyle w:val="ListParagraph"/>
        <w:numPr>
          <w:ilvl w:val="0"/>
          <w:numId w:val="39"/>
        </w:numPr>
        <w:jc w:val="both"/>
        <w:rPr>
          <w:rFonts w:ascii="Arial" w:hAnsi="Arial" w:cs="Arial"/>
          <w:sz w:val="24"/>
          <w:szCs w:val="24"/>
        </w:rPr>
      </w:pPr>
      <w:r w:rsidRPr="00D9690B">
        <w:rPr>
          <w:rFonts w:ascii="Arial" w:hAnsi="Arial" w:cs="Arial"/>
          <w:sz w:val="24"/>
          <w:szCs w:val="24"/>
        </w:rPr>
        <w:t xml:space="preserve">Key findings include </w:t>
      </w:r>
      <w:r w:rsidR="00D9690B">
        <w:rPr>
          <w:rFonts w:ascii="Arial" w:hAnsi="Arial" w:cs="Arial"/>
          <w:sz w:val="24"/>
          <w:szCs w:val="24"/>
        </w:rPr>
        <w:t>–</w:t>
      </w:r>
      <w:r w:rsidRPr="00D9690B">
        <w:rPr>
          <w:rFonts w:ascii="Arial" w:hAnsi="Arial" w:cs="Arial"/>
          <w:sz w:val="24"/>
          <w:szCs w:val="24"/>
        </w:rPr>
        <w:t xml:space="preserve"> </w:t>
      </w:r>
    </w:p>
    <w:p w14:paraId="43DCD4A0" w14:textId="77777777" w:rsidR="00D9690B" w:rsidRDefault="00D9690B" w:rsidP="00D9690B">
      <w:pPr>
        <w:pStyle w:val="ListParagraph"/>
        <w:ind w:left="340"/>
        <w:jc w:val="both"/>
        <w:rPr>
          <w:rFonts w:ascii="Arial" w:hAnsi="Arial" w:cs="Arial"/>
          <w:sz w:val="24"/>
          <w:szCs w:val="24"/>
        </w:rPr>
      </w:pPr>
    </w:p>
    <w:p w14:paraId="52A14464" w14:textId="3D106153" w:rsidR="00D9690B" w:rsidRDefault="00D9690B" w:rsidP="00D9690B">
      <w:pPr>
        <w:pStyle w:val="ListParagraph"/>
        <w:numPr>
          <w:ilvl w:val="0"/>
          <w:numId w:val="16"/>
        </w:numPr>
        <w:jc w:val="both"/>
        <w:rPr>
          <w:rFonts w:ascii="Arial" w:hAnsi="Arial" w:cs="Arial"/>
          <w:sz w:val="24"/>
          <w:szCs w:val="24"/>
        </w:rPr>
      </w:pPr>
      <w:r>
        <w:rPr>
          <w:rFonts w:ascii="Arial" w:hAnsi="Arial" w:cs="Arial"/>
          <w:sz w:val="24"/>
          <w:szCs w:val="24"/>
        </w:rPr>
        <w:t xml:space="preserve">Welfare rights advisers have been contacting the DWP about the failure to assess claimants for </w:t>
      </w:r>
      <w:r w:rsidR="00E61AEF">
        <w:rPr>
          <w:rFonts w:ascii="Arial" w:hAnsi="Arial" w:cs="Arial"/>
          <w:sz w:val="24"/>
          <w:szCs w:val="24"/>
        </w:rPr>
        <w:t>irESA</w:t>
      </w:r>
      <w:r>
        <w:rPr>
          <w:rFonts w:ascii="Arial" w:hAnsi="Arial" w:cs="Arial"/>
          <w:sz w:val="24"/>
          <w:szCs w:val="24"/>
        </w:rPr>
        <w:t xml:space="preserve"> on migration from incapacity benefit since 2011 in individual cases;</w:t>
      </w:r>
    </w:p>
    <w:p w14:paraId="6CBAD282" w14:textId="2A2F069E" w:rsidR="00892C94" w:rsidRPr="00892C94" w:rsidRDefault="00892C94" w:rsidP="00892C94">
      <w:pPr>
        <w:pStyle w:val="ListParagraph"/>
        <w:numPr>
          <w:ilvl w:val="0"/>
          <w:numId w:val="16"/>
        </w:numPr>
        <w:jc w:val="both"/>
        <w:rPr>
          <w:rFonts w:ascii="Arial" w:hAnsi="Arial" w:cs="Arial"/>
          <w:sz w:val="24"/>
          <w:szCs w:val="24"/>
        </w:rPr>
      </w:pPr>
      <w:r>
        <w:rPr>
          <w:rFonts w:ascii="Arial" w:hAnsi="Arial" w:cs="Arial"/>
          <w:sz w:val="24"/>
          <w:szCs w:val="24"/>
        </w:rPr>
        <w:t xml:space="preserve">A letter was sent to Caxton House in July 2014 alerting the DWP </w:t>
      </w:r>
      <w:r w:rsidR="00C74773">
        <w:rPr>
          <w:rFonts w:ascii="Arial" w:hAnsi="Arial" w:cs="Arial"/>
          <w:sz w:val="24"/>
          <w:szCs w:val="24"/>
        </w:rPr>
        <w:t>officially at national level</w:t>
      </w:r>
      <w:r>
        <w:rPr>
          <w:rFonts w:ascii="Arial" w:hAnsi="Arial" w:cs="Arial"/>
          <w:sz w:val="24"/>
          <w:szCs w:val="24"/>
        </w:rPr>
        <w:t xml:space="preserve"> to the fact that this was a systemic problem;</w:t>
      </w:r>
    </w:p>
    <w:p w14:paraId="267BD6A7" w14:textId="31D35EA4" w:rsidR="00D9690B" w:rsidRDefault="00D9690B" w:rsidP="00D9690B">
      <w:pPr>
        <w:pStyle w:val="ListParagraph"/>
        <w:numPr>
          <w:ilvl w:val="0"/>
          <w:numId w:val="16"/>
        </w:numPr>
        <w:jc w:val="both"/>
        <w:rPr>
          <w:rFonts w:ascii="Arial" w:hAnsi="Arial" w:cs="Arial"/>
          <w:sz w:val="24"/>
          <w:szCs w:val="24"/>
        </w:rPr>
      </w:pPr>
      <w:r>
        <w:rPr>
          <w:rFonts w:ascii="Arial" w:hAnsi="Arial" w:cs="Arial"/>
          <w:sz w:val="24"/>
          <w:szCs w:val="24"/>
        </w:rPr>
        <w:t>In the majority of cases</w:t>
      </w:r>
      <w:r w:rsidR="00104D9C">
        <w:rPr>
          <w:rFonts w:ascii="Arial" w:hAnsi="Arial" w:cs="Arial"/>
          <w:sz w:val="24"/>
          <w:szCs w:val="24"/>
        </w:rPr>
        <w:t>,</w:t>
      </w:r>
      <w:r>
        <w:rPr>
          <w:rFonts w:ascii="Arial" w:hAnsi="Arial" w:cs="Arial"/>
          <w:sz w:val="24"/>
          <w:szCs w:val="24"/>
        </w:rPr>
        <w:t xml:space="preserve"> </w:t>
      </w:r>
      <w:r w:rsidR="00233E0D">
        <w:rPr>
          <w:rFonts w:ascii="Arial" w:hAnsi="Arial" w:cs="Arial"/>
          <w:sz w:val="24"/>
          <w:szCs w:val="24"/>
        </w:rPr>
        <w:t>up to some point in 2017</w:t>
      </w:r>
      <w:r w:rsidR="00104D9C">
        <w:rPr>
          <w:rFonts w:ascii="Arial" w:hAnsi="Arial" w:cs="Arial"/>
          <w:sz w:val="24"/>
          <w:szCs w:val="24"/>
        </w:rPr>
        <w:t>,</w:t>
      </w:r>
      <w:r w:rsidR="00233E0D">
        <w:rPr>
          <w:rFonts w:ascii="Arial" w:hAnsi="Arial" w:cs="Arial"/>
          <w:sz w:val="24"/>
          <w:szCs w:val="24"/>
        </w:rPr>
        <w:t xml:space="preserve"> backdated irESA </w:t>
      </w:r>
      <w:r>
        <w:rPr>
          <w:rFonts w:ascii="Arial" w:hAnsi="Arial" w:cs="Arial"/>
          <w:sz w:val="24"/>
          <w:szCs w:val="24"/>
        </w:rPr>
        <w:t>was paid to the point of migration – sometimes this was resolved easily, but sometimes it took a lot of perseverance and escalation;</w:t>
      </w:r>
    </w:p>
    <w:p w14:paraId="71C2CA52" w14:textId="00B21D46" w:rsidR="00D9690B" w:rsidRDefault="00D9690B" w:rsidP="00D9690B">
      <w:pPr>
        <w:pStyle w:val="ListParagraph"/>
        <w:numPr>
          <w:ilvl w:val="0"/>
          <w:numId w:val="16"/>
        </w:numPr>
        <w:jc w:val="both"/>
        <w:rPr>
          <w:rFonts w:ascii="Arial" w:hAnsi="Arial" w:cs="Arial"/>
          <w:sz w:val="24"/>
          <w:szCs w:val="24"/>
        </w:rPr>
      </w:pPr>
      <w:r>
        <w:rPr>
          <w:rFonts w:ascii="Arial" w:hAnsi="Arial" w:cs="Arial"/>
          <w:sz w:val="24"/>
          <w:szCs w:val="24"/>
        </w:rPr>
        <w:t xml:space="preserve">DWP internal guidance </w:t>
      </w:r>
      <w:r w:rsidR="00233E0D">
        <w:rPr>
          <w:rFonts w:ascii="Arial" w:hAnsi="Arial" w:cs="Arial"/>
          <w:sz w:val="24"/>
          <w:szCs w:val="24"/>
        </w:rPr>
        <w:t>in June 2013</w:t>
      </w:r>
      <w:r w:rsidR="00D90EEC">
        <w:rPr>
          <w:rFonts w:ascii="Arial" w:hAnsi="Arial" w:cs="Arial"/>
          <w:sz w:val="24"/>
          <w:szCs w:val="24"/>
        </w:rPr>
        <w:t>,</w:t>
      </w:r>
      <w:r w:rsidR="00233E0D">
        <w:rPr>
          <w:rFonts w:ascii="Arial" w:hAnsi="Arial" w:cs="Arial"/>
          <w:sz w:val="24"/>
          <w:szCs w:val="24"/>
        </w:rPr>
        <w:t xml:space="preserve"> and in the Decision Maker’s Guide from before February 2014</w:t>
      </w:r>
      <w:r w:rsidR="00D90EEC">
        <w:rPr>
          <w:rFonts w:ascii="Arial" w:hAnsi="Arial" w:cs="Arial"/>
          <w:sz w:val="24"/>
          <w:szCs w:val="24"/>
        </w:rPr>
        <w:t>,</w:t>
      </w:r>
      <w:r w:rsidR="00233E0D">
        <w:rPr>
          <w:rFonts w:ascii="Arial" w:hAnsi="Arial" w:cs="Arial"/>
          <w:sz w:val="24"/>
          <w:szCs w:val="24"/>
        </w:rPr>
        <w:t xml:space="preserve"> clearly sets out that on migration a claimant should be assessed for both contributory ESA and irESA;</w:t>
      </w:r>
    </w:p>
    <w:p w14:paraId="514C3397" w14:textId="22B843A9" w:rsidR="00824BD5" w:rsidRDefault="00233E0D" w:rsidP="00824BD5">
      <w:pPr>
        <w:pStyle w:val="ListParagraph"/>
        <w:numPr>
          <w:ilvl w:val="0"/>
          <w:numId w:val="16"/>
        </w:numPr>
        <w:jc w:val="both"/>
        <w:rPr>
          <w:rFonts w:ascii="Arial" w:hAnsi="Arial" w:cs="Arial"/>
          <w:sz w:val="24"/>
          <w:szCs w:val="24"/>
        </w:rPr>
      </w:pPr>
      <w:r>
        <w:rPr>
          <w:rFonts w:ascii="Arial" w:hAnsi="Arial" w:cs="Arial"/>
          <w:sz w:val="24"/>
          <w:szCs w:val="24"/>
        </w:rPr>
        <w:t xml:space="preserve">The DWP were fully aware of the correct way to carry out the assessment on migration </w:t>
      </w:r>
      <w:r w:rsidR="00E61AEF">
        <w:rPr>
          <w:rFonts w:ascii="Arial" w:hAnsi="Arial" w:cs="Arial"/>
          <w:sz w:val="24"/>
          <w:szCs w:val="24"/>
        </w:rPr>
        <w:t xml:space="preserve">well before the decision in </w:t>
      </w:r>
      <w:r w:rsidR="00E61AEF">
        <w:rPr>
          <w:rFonts w:ascii="Arial" w:hAnsi="Arial" w:cs="Arial"/>
          <w:i/>
          <w:sz w:val="24"/>
          <w:szCs w:val="24"/>
        </w:rPr>
        <w:t xml:space="preserve">LH v SSWP </w:t>
      </w:r>
      <w:r>
        <w:rPr>
          <w:rFonts w:ascii="Arial" w:hAnsi="Arial" w:cs="Arial"/>
          <w:sz w:val="24"/>
          <w:szCs w:val="24"/>
        </w:rPr>
        <w:t xml:space="preserve">and, up until 2017, were revising </w:t>
      </w:r>
      <w:r w:rsidR="001A2C83">
        <w:rPr>
          <w:rFonts w:ascii="Arial" w:hAnsi="Arial" w:cs="Arial"/>
          <w:sz w:val="24"/>
          <w:szCs w:val="24"/>
        </w:rPr>
        <w:t>incorrect</w:t>
      </w:r>
      <w:r>
        <w:rPr>
          <w:rFonts w:ascii="Arial" w:hAnsi="Arial" w:cs="Arial"/>
          <w:sz w:val="24"/>
          <w:szCs w:val="24"/>
        </w:rPr>
        <w:t xml:space="preserve"> decisions on the basis of official error and awarding full backdating.</w:t>
      </w:r>
    </w:p>
    <w:p w14:paraId="12087B18" w14:textId="77777777" w:rsidR="00D74777" w:rsidRPr="00D74777" w:rsidRDefault="00D74777" w:rsidP="00D74777">
      <w:pPr>
        <w:jc w:val="both"/>
        <w:rPr>
          <w:rFonts w:ascii="Arial" w:hAnsi="Arial" w:cs="Arial"/>
          <w:sz w:val="24"/>
          <w:szCs w:val="24"/>
        </w:rPr>
      </w:pPr>
      <w:bookmarkStart w:id="0" w:name="_GoBack"/>
      <w:bookmarkEnd w:id="0"/>
    </w:p>
    <w:p w14:paraId="3C9FE67A" w14:textId="5D599841" w:rsidR="00824BD5" w:rsidRDefault="00824BD5" w:rsidP="00824BD5">
      <w:pPr>
        <w:jc w:val="both"/>
        <w:rPr>
          <w:rFonts w:ascii="Arial" w:hAnsi="Arial" w:cs="Arial"/>
          <w:b/>
          <w:sz w:val="36"/>
          <w:szCs w:val="36"/>
        </w:rPr>
      </w:pPr>
      <w:r w:rsidRPr="00824BD5">
        <w:rPr>
          <w:rFonts w:ascii="Arial" w:hAnsi="Arial" w:cs="Arial"/>
          <w:b/>
          <w:sz w:val="36"/>
          <w:szCs w:val="36"/>
        </w:rPr>
        <w:t>Survey response</w:t>
      </w:r>
    </w:p>
    <w:p w14:paraId="7363F780" w14:textId="1E8DDF4F" w:rsidR="00824BD5" w:rsidRDefault="001A6CFF" w:rsidP="00C35C29">
      <w:pPr>
        <w:pStyle w:val="ListParagraph"/>
        <w:numPr>
          <w:ilvl w:val="0"/>
          <w:numId w:val="39"/>
        </w:numPr>
        <w:jc w:val="both"/>
        <w:rPr>
          <w:rFonts w:ascii="Arial" w:hAnsi="Arial" w:cs="Arial"/>
          <w:sz w:val="24"/>
          <w:szCs w:val="24"/>
        </w:rPr>
      </w:pPr>
      <w:r>
        <w:rPr>
          <w:rFonts w:ascii="Arial" w:hAnsi="Arial" w:cs="Arial"/>
          <w:sz w:val="24"/>
          <w:szCs w:val="24"/>
        </w:rPr>
        <w:t>NAWRA received 65 responses to the survey</w:t>
      </w:r>
      <w:r w:rsidR="00234022">
        <w:rPr>
          <w:rFonts w:ascii="Arial" w:hAnsi="Arial" w:cs="Arial"/>
          <w:sz w:val="24"/>
          <w:szCs w:val="24"/>
        </w:rPr>
        <w:t>,</w:t>
      </w:r>
      <w:r>
        <w:rPr>
          <w:rFonts w:ascii="Arial" w:hAnsi="Arial" w:cs="Arial"/>
          <w:sz w:val="24"/>
          <w:szCs w:val="24"/>
        </w:rPr>
        <w:t xml:space="preserve"> which was only open for a week due to the short time scale. A summary of the responses is set out below.</w:t>
      </w:r>
    </w:p>
    <w:p w14:paraId="3F445314" w14:textId="77777777" w:rsidR="001A6CFF" w:rsidRDefault="001A6CFF" w:rsidP="001A6CFF">
      <w:pPr>
        <w:pStyle w:val="ListParagraph"/>
        <w:ind w:left="340"/>
        <w:jc w:val="both"/>
        <w:rPr>
          <w:rFonts w:ascii="Arial" w:hAnsi="Arial" w:cs="Arial"/>
          <w:sz w:val="24"/>
          <w:szCs w:val="24"/>
        </w:rPr>
      </w:pPr>
    </w:p>
    <w:p w14:paraId="318FF5EA" w14:textId="0819A43C" w:rsidR="001A6CFF" w:rsidRDefault="001A6CFF" w:rsidP="00C35C29">
      <w:pPr>
        <w:pStyle w:val="ListParagraph"/>
        <w:numPr>
          <w:ilvl w:val="0"/>
          <w:numId w:val="39"/>
        </w:numPr>
        <w:jc w:val="both"/>
        <w:rPr>
          <w:rFonts w:ascii="Arial" w:hAnsi="Arial" w:cs="Arial"/>
          <w:sz w:val="24"/>
          <w:szCs w:val="24"/>
        </w:rPr>
      </w:pPr>
      <w:r>
        <w:rPr>
          <w:rFonts w:ascii="Arial" w:hAnsi="Arial" w:cs="Arial"/>
          <w:sz w:val="24"/>
          <w:szCs w:val="24"/>
        </w:rPr>
        <w:t>Response to question ‘When did you first start dealing with cases where irESA was missing?’</w:t>
      </w:r>
    </w:p>
    <w:p w14:paraId="4080AA41" w14:textId="1CF12565" w:rsidR="001A6CFF" w:rsidRPr="001A6CFF" w:rsidRDefault="001A6CFF" w:rsidP="001A6CFF">
      <w:pPr>
        <w:ind w:left="340"/>
        <w:jc w:val="both"/>
        <w:rPr>
          <w:rFonts w:ascii="Arial" w:hAnsi="Arial" w:cs="Arial"/>
          <w:sz w:val="24"/>
          <w:szCs w:val="24"/>
        </w:rPr>
      </w:pPr>
      <w:r>
        <w:rPr>
          <w:rFonts w:ascii="Arial" w:hAnsi="Arial" w:cs="Arial"/>
          <w:sz w:val="24"/>
          <w:szCs w:val="24"/>
        </w:rPr>
        <w:t xml:space="preserve"> </w:t>
      </w:r>
      <w:r>
        <w:rPr>
          <w:rFonts w:ascii="Arial" w:hAnsi="Arial" w:cs="Arial"/>
          <w:noProof/>
          <w:sz w:val="24"/>
          <w:szCs w:val="24"/>
          <w:lang w:val="en-US"/>
        </w:rPr>
        <w:drawing>
          <wp:inline distT="0" distB="0" distL="0" distR="0" wp14:anchorId="6A344B70" wp14:editId="304F54A8">
            <wp:extent cx="4809067" cy="303724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1 at 18.49.45.png"/>
                    <pic:cNvPicPr/>
                  </pic:nvPicPr>
                  <pic:blipFill>
                    <a:blip r:embed="rId10">
                      <a:extLst>
                        <a:ext uri="{28A0092B-C50C-407E-A947-70E740481C1C}">
                          <a14:useLocalDpi xmlns:a14="http://schemas.microsoft.com/office/drawing/2010/main" val="0"/>
                        </a:ext>
                      </a:extLst>
                    </a:blip>
                    <a:stretch>
                      <a:fillRect/>
                    </a:stretch>
                  </pic:blipFill>
                  <pic:spPr>
                    <a:xfrm>
                      <a:off x="0" y="0"/>
                      <a:ext cx="4809067" cy="3037244"/>
                    </a:xfrm>
                    <a:prstGeom prst="rect">
                      <a:avLst/>
                    </a:prstGeom>
                  </pic:spPr>
                </pic:pic>
              </a:graphicData>
            </a:graphic>
          </wp:inline>
        </w:drawing>
      </w:r>
    </w:p>
    <w:p w14:paraId="3CD65154" w14:textId="77777777" w:rsidR="001A6CFF" w:rsidRDefault="001A6CFF">
      <w:pPr>
        <w:spacing w:after="0" w:line="240" w:lineRule="auto"/>
        <w:rPr>
          <w:rFonts w:ascii="Arial" w:eastAsia="Times New Roman" w:hAnsi="Arial" w:cs="Arial"/>
          <w:sz w:val="24"/>
          <w:szCs w:val="24"/>
        </w:rPr>
      </w:pPr>
      <w:r>
        <w:rPr>
          <w:rFonts w:ascii="Arial" w:eastAsia="Times New Roman" w:hAnsi="Arial" w:cs="Arial"/>
          <w:sz w:val="24"/>
          <w:szCs w:val="24"/>
        </w:rPr>
        <w:br w:type="page"/>
      </w:r>
    </w:p>
    <w:p w14:paraId="1AE6424C" w14:textId="51FB9D81" w:rsidR="00D90454" w:rsidRDefault="001A6CFF" w:rsidP="001A6CFF">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 xml:space="preserve"> Response to question ‘Did you have to escalate the cases to get resolution?’</w:t>
      </w:r>
    </w:p>
    <w:p w14:paraId="5B886CCD" w14:textId="77777777" w:rsidR="001A6CFF" w:rsidRDefault="001A6CFF" w:rsidP="001A6CFF">
      <w:pPr>
        <w:spacing w:after="0" w:line="240" w:lineRule="auto"/>
        <w:rPr>
          <w:rFonts w:ascii="Arial" w:eastAsia="Times New Roman" w:hAnsi="Arial" w:cs="Arial"/>
          <w:sz w:val="24"/>
          <w:szCs w:val="24"/>
        </w:rPr>
      </w:pPr>
    </w:p>
    <w:p w14:paraId="1AFE11FA" w14:textId="622B498E" w:rsidR="001A6CFF" w:rsidRPr="001A6CFF" w:rsidRDefault="001A6CFF" w:rsidP="001A6CFF">
      <w:pPr>
        <w:spacing w:after="0" w:line="240" w:lineRule="auto"/>
        <w:ind w:left="340"/>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14:anchorId="31B1B5DD" wp14:editId="104A3BFF">
            <wp:extent cx="4694767" cy="2340031"/>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1 at 18.51.59.png"/>
                    <pic:cNvPicPr/>
                  </pic:nvPicPr>
                  <pic:blipFill>
                    <a:blip r:embed="rId11">
                      <a:extLst>
                        <a:ext uri="{28A0092B-C50C-407E-A947-70E740481C1C}">
                          <a14:useLocalDpi xmlns:a14="http://schemas.microsoft.com/office/drawing/2010/main" val="0"/>
                        </a:ext>
                      </a:extLst>
                    </a:blip>
                    <a:stretch>
                      <a:fillRect/>
                    </a:stretch>
                  </pic:blipFill>
                  <pic:spPr>
                    <a:xfrm>
                      <a:off x="0" y="0"/>
                      <a:ext cx="4695235" cy="2340264"/>
                    </a:xfrm>
                    <a:prstGeom prst="rect">
                      <a:avLst/>
                    </a:prstGeom>
                  </pic:spPr>
                </pic:pic>
              </a:graphicData>
            </a:graphic>
          </wp:inline>
        </w:drawing>
      </w:r>
    </w:p>
    <w:p w14:paraId="3ED31223" w14:textId="77777777" w:rsidR="00D9690B" w:rsidRDefault="00D9690B" w:rsidP="00EF3041">
      <w:pPr>
        <w:spacing w:after="0" w:line="240" w:lineRule="auto"/>
        <w:rPr>
          <w:rFonts w:ascii="Arial" w:eastAsia="Times New Roman" w:hAnsi="Arial" w:cs="Arial"/>
          <w:sz w:val="24"/>
          <w:szCs w:val="24"/>
        </w:rPr>
      </w:pPr>
    </w:p>
    <w:p w14:paraId="426BA840" w14:textId="4F3F6A22" w:rsidR="00D9690B" w:rsidRDefault="001A6CFF" w:rsidP="001A6CFF">
      <w:pPr>
        <w:pStyle w:val="ListParagraph"/>
        <w:numPr>
          <w:ilvl w:val="0"/>
          <w:numId w:val="17"/>
        </w:numPr>
        <w:spacing w:after="0" w:line="240" w:lineRule="auto"/>
        <w:rPr>
          <w:rFonts w:ascii="Arial" w:eastAsia="Times New Roman" w:hAnsi="Arial" w:cs="Arial"/>
          <w:sz w:val="24"/>
          <w:szCs w:val="24"/>
        </w:rPr>
      </w:pPr>
      <w:r>
        <w:rPr>
          <w:rFonts w:ascii="Arial" w:eastAsia="Times New Roman" w:hAnsi="Arial" w:cs="Arial"/>
          <w:sz w:val="24"/>
          <w:szCs w:val="24"/>
        </w:rPr>
        <w:t xml:space="preserve"> Response to question ‘If you escalated, how did you go about this?’</w:t>
      </w:r>
    </w:p>
    <w:p w14:paraId="4ED77610" w14:textId="77777777" w:rsidR="001A6CFF" w:rsidRDefault="001A6CFF" w:rsidP="001A6CFF">
      <w:pPr>
        <w:spacing w:after="0" w:line="240" w:lineRule="auto"/>
        <w:rPr>
          <w:rFonts w:ascii="Arial" w:eastAsia="Times New Roman" w:hAnsi="Arial" w:cs="Arial"/>
          <w:sz w:val="24"/>
          <w:szCs w:val="24"/>
        </w:rPr>
      </w:pPr>
    </w:p>
    <w:p w14:paraId="5BC0F4E4" w14:textId="02AFA031" w:rsidR="001A6CFF" w:rsidRPr="001A6CFF" w:rsidRDefault="001A6CFF" w:rsidP="001A6CFF">
      <w:pPr>
        <w:spacing w:after="0" w:line="240" w:lineRule="auto"/>
        <w:ind w:left="340"/>
        <w:rPr>
          <w:rFonts w:ascii="Arial" w:eastAsia="Times New Roman" w:hAnsi="Arial" w:cs="Arial"/>
          <w:sz w:val="24"/>
          <w:szCs w:val="24"/>
        </w:rPr>
      </w:pPr>
      <w:r>
        <w:rPr>
          <w:rFonts w:ascii="Arial" w:eastAsia="Times New Roman" w:hAnsi="Arial" w:cs="Arial"/>
          <w:noProof/>
          <w:sz w:val="24"/>
          <w:szCs w:val="24"/>
          <w:lang w:val="en-US"/>
        </w:rPr>
        <w:drawing>
          <wp:inline distT="0" distB="0" distL="0" distR="0" wp14:anchorId="26A1207D" wp14:editId="43179C1F">
            <wp:extent cx="4694767" cy="2314011"/>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1 at 18.55.40.png"/>
                    <pic:cNvPicPr/>
                  </pic:nvPicPr>
                  <pic:blipFill>
                    <a:blip r:embed="rId12">
                      <a:extLst>
                        <a:ext uri="{28A0092B-C50C-407E-A947-70E740481C1C}">
                          <a14:useLocalDpi xmlns:a14="http://schemas.microsoft.com/office/drawing/2010/main" val="0"/>
                        </a:ext>
                      </a:extLst>
                    </a:blip>
                    <a:stretch>
                      <a:fillRect/>
                    </a:stretch>
                  </pic:blipFill>
                  <pic:spPr>
                    <a:xfrm>
                      <a:off x="0" y="0"/>
                      <a:ext cx="4695309" cy="2314278"/>
                    </a:xfrm>
                    <a:prstGeom prst="rect">
                      <a:avLst/>
                    </a:prstGeom>
                  </pic:spPr>
                </pic:pic>
              </a:graphicData>
            </a:graphic>
          </wp:inline>
        </w:drawing>
      </w:r>
    </w:p>
    <w:p w14:paraId="6D725DBB" w14:textId="40EAAC4C" w:rsidR="00D90454" w:rsidRPr="00D3403A" w:rsidRDefault="00D3403A" w:rsidP="00D3403A">
      <w:pPr>
        <w:ind w:left="720"/>
        <w:rPr>
          <w:rFonts w:ascii="Arial" w:hAnsi="Arial" w:cs="Arial"/>
          <w:sz w:val="16"/>
          <w:szCs w:val="16"/>
        </w:rPr>
      </w:pPr>
      <w:r w:rsidRPr="00D3403A">
        <w:rPr>
          <w:rFonts w:ascii="Arial" w:hAnsi="Arial" w:cs="Arial"/>
          <w:sz w:val="16"/>
          <w:szCs w:val="16"/>
        </w:rPr>
        <w:t>Note: Green – escalated individual cases; Blue – brought up the issue at local liaison; Yellow – brought up the issue at a higher level</w:t>
      </w:r>
    </w:p>
    <w:p w14:paraId="53B77AB1" w14:textId="574D537D" w:rsidR="00D3403A" w:rsidRDefault="00D3403A" w:rsidP="00D3403A">
      <w:pPr>
        <w:pStyle w:val="ListParagraph"/>
        <w:numPr>
          <w:ilvl w:val="0"/>
          <w:numId w:val="17"/>
        </w:numPr>
        <w:rPr>
          <w:rFonts w:ascii="Arial" w:hAnsi="Arial" w:cs="Arial"/>
          <w:sz w:val="24"/>
          <w:szCs w:val="24"/>
        </w:rPr>
      </w:pPr>
      <w:r>
        <w:rPr>
          <w:rFonts w:ascii="Arial" w:hAnsi="Arial" w:cs="Arial"/>
          <w:sz w:val="24"/>
          <w:szCs w:val="24"/>
        </w:rPr>
        <w:t xml:space="preserve"> Response to question ‘How far back have you been successful in getting backdating generally?’</w:t>
      </w:r>
    </w:p>
    <w:p w14:paraId="4C88CD55" w14:textId="0D356120" w:rsidR="00D3403A" w:rsidRPr="00D3403A" w:rsidRDefault="00D3403A" w:rsidP="00D3403A">
      <w:pPr>
        <w:ind w:left="340"/>
        <w:rPr>
          <w:rFonts w:ascii="Arial" w:hAnsi="Arial" w:cs="Arial"/>
          <w:sz w:val="24"/>
          <w:szCs w:val="24"/>
        </w:rPr>
      </w:pPr>
      <w:r>
        <w:rPr>
          <w:rFonts w:ascii="Arial" w:hAnsi="Arial" w:cs="Arial"/>
          <w:noProof/>
          <w:sz w:val="24"/>
          <w:szCs w:val="24"/>
          <w:lang w:val="en-US"/>
        </w:rPr>
        <w:drawing>
          <wp:inline distT="0" distB="0" distL="0" distR="0" wp14:anchorId="53DBD294" wp14:editId="12F0B520">
            <wp:extent cx="4694767" cy="2200319"/>
            <wp:effectExtent l="0" t="0" r="444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5-11 at 18.59.30.png"/>
                    <pic:cNvPicPr/>
                  </pic:nvPicPr>
                  <pic:blipFill>
                    <a:blip r:embed="rId13">
                      <a:extLst>
                        <a:ext uri="{28A0092B-C50C-407E-A947-70E740481C1C}">
                          <a14:useLocalDpi xmlns:a14="http://schemas.microsoft.com/office/drawing/2010/main" val="0"/>
                        </a:ext>
                      </a:extLst>
                    </a:blip>
                    <a:stretch>
                      <a:fillRect/>
                    </a:stretch>
                  </pic:blipFill>
                  <pic:spPr>
                    <a:xfrm>
                      <a:off x="0" y="0"/>
                      <a:ext cx="4694767" cy="2200319"/>
                    </a:xfrm>
                    <a:prstGeom prst="rect">
                      <a:avLst/>
                    </a:prstGeom>
                  </pic:spPr>
                </pic:pic>
              </a:graphicData>
            </a:graphic>
          </wp:inline>
        </w:drawing>
      </w:r>
    </w:p>
    <w:p w14:paraId="02F5CFF1" w14:textId="139BB0B7" w:rsidR="00D3403A" w:rsidRDefault="002B7D44" w:rsidP="002B7D44">
      <w:pPr>
        <w:pStyle w:val="ListParagraph"/>
        <w:numPr>
          <w:ilvl w:val="0"/>
          <w:numId w:val="17"/>
        </w:numPr>
        <w:rPr>
          <w:rFonts w:ascii="Arial" w:hAnsi="Arial" w:cs="Arial"/>
          <w:sz w:val="24"/>
          <w:szCs w:val="24"/>
        </w:rPr>
      </w:pPr>
      <w:r>
        <w:rPr>
          <w:rFonts w:ascii="Arial" w:hAnsi="Arial" w:cs="Arial"/>
          <w:sz w:val="24"/>
          <w:szCs w:val="24"/>
        </w:rPr>
        <w:t xml:space="preserve"> The graphs above indicate that cases of irESA not being assessed on migration were first identified by welfare rights advisers as early as 2011. Sometimes the cases were resolved quite easily, sometimes they required escalation. The majority of cases have been backdated fully</w:t>
      </w:r>
      <w:r w:rsidR="003A3AFB">
        <w:rPr>
          <w:rFonts w:ascii="Arial" w:hAnsi="Arial" w:cs="Arial"/>
          <w:sz w:val="24"/>
          <w:szCs w:val="24"/>
        </w:rPr>
        <w:t>. Below are some typical case studies</w:t>
      </w:r>
      <w:r w:rsidR="00025E8E">
        <w:rPr>
          <w:rFonts w:ascii="Arial" w:hAnsi="Arial" w:cs="Arial"/>
          <w:sz w:val="24"/>
          <w:szCs w:val="24"/>
        </w:rPr>
        <w:t xml:space="preserve"> from just one adviser</w:t>
      </w:r>
      <w:r w:rsidR="003A3AFB">
        <w:rPr>
          <w:rFonts w:ascii="Arial" w:hAnsi="Arial" w:cs="Arial"/>
          <w:sz w:val="24"/>
          <w:szCs w:val="24"/>
        </w:rPr>
        <w:t xml:space="preserve"> – </w:t>
      </w:r>
    </w:p>
    <w:p w14:paraId="518F23AD" w14:textId="77777777" w:rsidR="00025E8E" w:rsidRDefault="00025E8E" w:rsidP="00025E8E">
      <w:pPr>
        <w:pStyle w:val="ListParagraph"/>
        <w:spacing w:after="0" w:line="240" w:lineRule="auto"/>
        <w:ind w:left="340"/>
        <w:rPr>
          <w:rFonts w:ascii="Helvetica Neue" w:eastAsia="Times New Roman" w:hAnsi="Helvetica Neue" w:cs="Times New Roman"/>
          <w:color w:val="333E48"/>
          <w:sz w:val="20"/>
          <w:szCs w:val="20"/>
          <w:shd w:val="clear" w:color="auto" w:fill="FFFFFF"/>
        </w:rPr>
      </w:pPr>
    </w:p>
    <w:p w14:paraId="7B58743E" w14:textId="56D72B61" w:rsidR="00025E8E" w:rsidRPr="00025E8E" w:rsidRDefault="00025E8E" w:rsidP="00025E8E">
      <w:pPr>
        <w:pStyle w:val="ListParagraph"/>
        <w:numPr>
          <w:ilvl w:val="0"/>
          <w:numId w:val="19"/>
        </w:numPr>
        <w:spacing w:after="0" w:line="240" w:lineRule="auto"/>
        <w:rPr>
          <w:rFonts w:ascii="Arial" w:eastAsia="Times New Roman" w:hAnsi="Arial" w:cs="Arial"/>
          <w:i/>
          <w:sz w:val="24"/>
          <w:szCs w:val="24"/>
          <w:shd w:val="clear" w:color="auto" w:fill="FFFFFF"/>
        </w:rPr>
      </w:pPr>
      <w:r w:rsidRPr="00025E8E">
        <w:rPr>
          <w:rFonts w:ascii="Arial" w:eastAsia="Times New Roman" w:hAnsi="Arial" w:cs="Arial"/>
          <w:i/>
          <w:sz w:val="24"/>
          <w:szCs w:val="24"/>
          <w:shd w:val="clear" w:color="auto" w:fill="FFFFFF"/>
        </w:rPr>
        <w:t>Client AF - migrated to ESA 18/10/2012, ESA3</w:t>
      </w:r>
      <w:r w:rsidR="00962552">
        <w:rPr>
          <w:rFonts w:ascii="Arial" w:eastAsia="Times New Roman" w:hAnsi="Arial" w:cs="Arial"/>
          <w:i/>
          <w:sz w:val="24"/>
          <w:szCs w:val="24"/>
          <w:shd w:val="clear" w:color="auto" w:fill="FFFFFF"/>
        </w:rPr>
        <w:t xml:space="preserve"> (form collecting income details </w:t>
      </w:r>
      <w:r w:rsidR="00947A24">
        <w:rPr>
          <w:rFonts w:ascii="Arial" w:eastAsia="Times New Roman" w:hAnsi="Arial" w:cs="Arial"/>
          <w:i/>
          <w:sz w:val="24"/>
          <w:szCs w:val="24"/>
          <w:shd w:val="clear" w:color="auto" w:fill="FFFFFF"/>
        </w:rPr>
        <w:t xml:space="preserve">in order to assess irESA) </w:t>
      </w:r>
      <w:r w:rsidR="00962552">
        <w:rPr>
          <w:rFonts w:ascii="Arial" w:eastAsia="Times New Roman" w:hAnsi="Arial" w:cs="Arial"/>
          <w:i/>
          <w:sz w:val="24"/>
          <w:szCs w:val="24"/>
          <w:shd w:val="clear" w:color="auto" w:fill="FFFFFF"/>
        </w:rPr>
        <w:t>sent</w:t>
      </w:r>
      <w:r w:rsidRPr="00025E8E">
        <w:rPr>
          <w:rFonts w:ascii="Arial" w:eastAsia="Times New Roman" w:hAnsi="Arial" w:cs="Arial"/>
          <w:i/>
          <w:sz w:val="24"/>
          <w:szCs w:val="24"/>
          <w:shd w:val="clear" w:color="auto" w:fill="FFFFFF"/>
        </w:rPr>
        <w:t xml:space="preserve"> with adviser cover letter pointing out arrears missing </w:t>
      </w:r>
      <w:r w:rsidR="007F1603">
        <w:rPr>
          <w:rFonts w:ascii="Arial" w:eastAsia="Times New Roman" w:hAnsi="Arial" w:cs="Arial"/>
          <w:i/>
          <w:sz w:val="24"/>
          <w:szCs w:val="24"/>
          <w:shd w:val="clear" w:color="auto" w:fill="FFFFFF"/>
        </w:rPr>
        <w:t xml:space="preserve">- </w:t>
      </w:r>
      <w:r w:rsidRPr="00025E8E">
        <w:rPr>
          <w:rFonts w:ascii="Arial" w:eastAsia="Times New Roman" w:hAnsi="Arial" w:cs="Arial"/>
          <w:i/>
          <w:sz w:val="24"/>
          <w:szCs w:val="24"/>
          <w:shd w:val="clear" w:color="auto" w:fill="FFFFFF"/>
        </w:rPr>
        <w:t xml:space="preserve">submitted 18/11/15, arrears issued back to date of migration in February 2016. </w:t>
      </w:r>
    </w:p>
    <w:p w14:paraId="72C20DD6" w14:textId="77777777" w:rsidR="00025E8E" w:rsidRPr="00025E8E" w:rsidRDefault="00025E8E" w:rsidP="00025E8E">
      <w:pPr>
        <w:pStyle w:val="ListParagraph"/>
        <w:spacing w:after="0" w:line="240" w:lineRule="auto"/>
        <w:ind w:left="340"/>
        <w:rPr>
          <w:rFonts w:ascii="Arial" w:eastAsia="Times New Roman" w:hAnsi="Arial" w:cs="Arial"/>
          <w:i/>
          <w:sz w:val="24"/>
          <w:szCs w:val="24"/>
          <w:shd w:val="clear" w:color="auto" w:fill="FFFFFF"/>
        </w:rPr>
      </w:pPr>
    </w:p>
    <w:p w14:paraId="1999B67E" w14:textId="17A80C58" w:rsidR="00025E8E" w:rsidRPr="00025E8E" w:rsidRDefault="00025E8E" w:rsidP="00025E8E">
      <w:pPr>
        <w:pStyle w:val="ListParagraph"/>
        <w:numPr>
          <w:ilvl w:val="0"/>
          <w:numId w:val="19"/>
        </w:numPr>
        <w:spacing w:after="0" w:line="240" w:lineRule="auto"/>
        <w:rPr>
          <w:rFonts w:ascii="Arial" w:eastAsia="Times New Roman" w:hAnsi="Arial" w:cs="Arial"/>
          <w:i/>
          <w:sz w:val="24"/>
          <w:szCs w:val="24"/>
          <w:shd w:val="clear" w:color="auto" w:fill="FFFFFF"/>
        </w:rPr>
      </w:pPr>
      <w:r w:rsidRPr="00025E8E">
        <w:rPr>
          <w:rFonts w:ascii="Arial" w:eastAsia="Times New Roman" w:hAnsi="Arial" w:cs="Arial"/>
          <w:i/>
          <w:sz w:val="24"/>
          <w:szCs w:val="24"/>
          <w:shd w:val="clear" w:color="auto" w:fill="FFFFFF"/>
        </w:rPr>
        <w:t xml:space="preserve">Client AH, migrated to ESA 09/03/2013, ESA3 </w:t>
      </w:r>
      <w:r w:rsidR="00947A24">
        <w:rPr>
          <w:rFonts w:ascii="Arial" w:eastAsia="Times New Roman" w:hAnsi="Arial" w:cs="Arial"/>
          <w:i/>
          <w:sz w:val="24"/>
          <w:szCs w:val="24"/>
          <w:shd w:val="clear" w:color="auto" w:fill="FFFFFF"/>
        </w:rPr>
        <w:t xml:space="preserve">sent </w:t>
      </w:r>
      <w:r w:rsidRPr="00025E8E">
        <w:rPr>
          <w:rFonts w:ascii="Arial" w:eastAsia="Times New Roman" w:hAnsi="Arial" w:cs="Arial"/>
          <w:i/>
          <w:sz w:val="24"/>
          <w:szCs w:val="24"/>
          <w:shd w:val="clear" w:color="auto" w:fill="FFFFFF"/>
        </w:rPr>
        <w:t xml:space="preserve">with adviser cover letter pointing out arrears missing </w:t>
      </w:r>
      <w:r w:rsidR="007F1603">
        <w:rPr>
          <w:rFonts w:ascii="Arial" w:eastAsia="Times New Roman" w:hAnsi="Arial" w:cs="Arial"/>
          <w:i/>
          <w:sz w:val="24"/>
          <w:szCs w:val="24"/>
          <w:shd w:val="clear" w:color="auto" w:fill="FFFFFF"/>
        </w:rPr>
        <w:t xml:space="preserve">- </w:t>
      </w:r>
      <w:r w:rsidRPr="00025E8E">
        <w:rPr>
          <w:rFonts w:ascii="Arial" w:eastAsia="Times New Roman" w:hAnsi="Arial" w:cs="Arial"/>
          <w:i/>
          <w:sz w:val="24"/>
          <w:szCs w:val="24"/>
          <w:shd w:val="clear" w:color="auto" w:fill="FFFFFF"/>
        </w:rPr>
        <w:t xml:space="preserve">submitted 29/01/2016, arrears issued back to 27/07/2013 in August 2017. No arrears right back to date of migration due to client not being entitled to </w:t>
      </w:r>
      <w:r w:rsidR="00947A24">
        <w:rPr>
          <w:rFonts w:ascii="Arial" w:eastAsia="Times New Roman" w:hAnsi="Arial" w:cs="Arial"/>
          <w:i/>
          <w:sz w:val="24"/>
          <w:szCs w:val="24"/>
          <w:shd w:val="clear" w:color="auto" w:fill="FFFFFF"/>
        </w:rPr>
        <w:t>severe disability premium</w:t>
      </w:r>
      <w:r w:rsidRPr="00025E8E">
        <w:rPr>
          <w:rFonts w:ascii="Arial" w:eastAsia="Times New Roman" w:hAnsi="Arial" w:cs="Arial"/>
          <w:i/>
          <w:sz w:val="24"/>
          <w:szCs w:val="24"/>
          <w:shd w:val="clear" w:color="auto" w:fill="FFFFFF"/>
        </w:rPr>
        <w:t xml:space="preserve"> at that point and other contrib</w:t>
      </w:r>
      <w:r w:rsidR="00947A24">
        <w:rPr>
          <w:rFonts w:ascii="Arial" w:eastAsia="Times New Roman" w:hAnsi="Arial" w:cs="Arial"/>
          <w:i/>
          <w:sz w:val="24"/>
          <w:szCs w:val="24"/>
          <w:shd w:val="clear" w:color="auto" w:fill="FFFFFF"/>
        </w:rPr>
        <w:t>utory</w:t>
      </w:r>
      <w:r w:rsidRPr="00025E8E">
        <w:rPr>
          <w:rFonts w:ascii="Arial" w:eastAsia="Times New Roman" w:hAnsi="Arial" w:cs="Arial"/>
          <w:i/>
          <w:sz w:val="24"/>
          <w:szCs w:val="24"/>
          <w:shd w:val="clear" w:color="auto" w:fill="FFFFFF"/>
        </w:rPr>
        <w:t xml:space="preserve"> benefits making client overscale. </w:t>
      </w:r>
    </w:p>
    <w:p w14:paraId="05E6627A" w14:textId="77777777" w:rsidR="00025E8E" w:rsidRPr="00025E8E" w:rsidRDefault="00025E8E" w:rsidP="00025E8E">
      <w:pPr>
        <w:pStyle w:val="ListParagraph"/>
        <w:spacing w:after="0" w:line="240" w:lineRule="auto"/>
        <w:ind w:left="340"/>
        <w:rPr>
          <w:rFonts w:ascii="Arial" w:eastAsia="Times New Roman" w:hAnsi="Arial" w:cs="Arial"/>
          <w:i/>
          <w:sz w:val="24"/>
          <w:szCs w:val="24"/>
          <w:shd w:val="clear" w:color="auto" w:fill="FFFFFF"/>
        </w:rPr>
      </w:pPr>
    </w:p>
    <w:p w14:paraId="725C8EC0" w14:textId="24EE5939" w:rsidR="00025E8E" w:rsidRPr="00025E8E" w:rsidRDefault="00025E8E" w:rsidP="00025E8E">
      <w:pPr>
        <w:pStyle w:val="ListParagraph"/>
        <w:numPr>
          <w:ilvl w:val="0"/>
          <w:numId w:val="19"/>
        </w:numPr>
        <w:spacing w:after="0" w:line="240" w:lineRule="auto"/>
        <w:rPr>
          <w:rFonts w:ascii="Arial" w:eastAsia="Times New Roman" w:hAnsi="Arial" w:cs="Arial"/>
          <w:i/>
          <w:sz w:val="24"/>
          <w:szCs w:val="24"/>
          <w:shd w:val="clear" w:color="auto" w:fill="FFFFFF"/>
        </w:rPr>
      </w:pPr>
      <w:r w:rsidRPr="00025E8E">
        <w:rPr>
          <w:rFonts w:ascii="Arial" w:eastAsia="Times New Roman" w:hAnsi="Arial" w:cs="Arial"/>
          <w:i/>
          <w:sz w:val="24"/>
          <w:szCs w:val="24"/>
          <w:shd w:val="clear" w:color="auto" w:fill="FFFFFF"/>
        </w:rPr>
        <w:t xml:space="preserve">Client WS - migrated to ESA 12/09/12, ESA3 </w:t>
      </w:r>
      <w:r w:rsidR="00947A24">
        <w:rPr>
          <w:rFonts w:ascii="Arial" w:eastAsia="Times New Roman" w:hAnsi="Arial" w:cs="Arial"/>
          <w:i/>
          <w:sz w:val="24"/>
          <w:szCs w:val="24"/>
          <w:shd w:val="clear" w:color="auto" w:fill="FFFFFF"/>
        </w:rPr>
        <w:t xml:space="preserve">sent </w:t>
      </w:r>
      <w:r w:rsidRPr="00025E8E">
        <w:rPr>
          <w:rFonts w:ascii="Arial" w:eastAsia="Times New Roman" w:hAnsi="Arial" w:cs="Arial"/>
          <w:i/>
          <w:sz w:val="24"/>
          <w:szCs w:val="24"/>
          <w:shd w:val="clear" w:color="auto" w:fill="FFFFFF"/>
        </w:rPr>
        <w:t xml:space="preserve">with adviser cover letter pointing out arrears missing </w:t>
      </w:r>
      <w:r w:rsidR="007F1603">
        <w:rPr>
          <w:rFonts w:ascii="Arial" w:eastAsia="Times New Roman" w:hAnsi="Arial" w:cs="Arial"/>
          <w:i/>
          <w:sz w:val="24"/>
          <w:szCs w:val="24"/>
          <w:shd w:val="clear" w:color="auto" w:fill="FFFFFF"/>
        </w:rPr>
        <w:t xml:space="preserve">- </w:t>
      </w:r>
      <w:r w:rsidRPr="00025E8E">
        <w:rPr>
          <w:rFonts w:ascii="Arial" w:eastAsia="Times New Roman" w:hAnsi="Arial" w:cs="Arial"/>
          <w:i/>
          <w:sz w:val="24"/>
          <w:szCs w:val="24"/>
          <w:shd w:val="clear" w:color="auto" w:fill="FFFFFF"/>
        </w:rPr>
        <w:t xml:space="preserve">submitted 05/08/16, arrears issued back to date of migration in November 2016. </w:t>
      </w:r>
    </w:p>
    <w:p w14:paraId="3C76E453" w14:textId="77777777" w:rsidR="00025E8E" w:rsidRPr="00025E8E" w:rsidRDefault="00025E8E" w:rsidP="00025E8E">
      <w:pPr>
        <w:pStyle w:val="ListParagraph"/>
        <w:spacing w:after="0" w:line="240" w:lineRule="auto"/>
        <w:ind w:left="340"/>
        <w:rPr>
          <w:rFonts w:ascii="Arial" w:eastAsia="Times New Roman" w:hAnsi="Arial" w:cs="Arial"/>
          <w:i/>
          <w:sz w:val="24"/>
          <w:szCs w:val="24"/>
          <w:shd w:val="clear" w:color="auto" w:fill="FFFFFF"/>
        </w:rPr>
      </w:pPr>
    </w:p>
    <w:p w14:paraId="0EA09990" w14:textId="66E19D99" w:rsidR="00025E8E" w:rsidRPr="00025E8E" w:rsidRDefault="00025E8E" w:rsidP="00025E8E">
      <w:pPr>
        <w:pStyle w:val="ListParagraph"/>
        <w:numPr>
          <w:ilvl w:val="0"/>
          <w:numId w:val="19"/>
        </w:numPr>
        <w:spacing w:after="0" w:line="240" w:lineRule="auto"/>
        <w:rPr>
          <w:rFonts w:ascii="Arial" w:eastAsia="Times New Roman" w:hAnsi="Arial" w:cs="Arial"/>
          <w:i/>
          <w:sz w:val="24"/>
          <w:szCs w:val="24"/>
          <w:shd w:val="clear" w:color="auto" w:fill="FFFFFF"/>
        </w:rPr>
      </w:pPr>
      <w:r w:rsidRPr="00025E8E">
        <w:rPr>
          <w:rFonts w:ascii="Arial" w:eastAsia="Times New Roman" w:hAnsi="Arial" w:cs="Arial"/>
          <w:i/>
          <w:sz w:val="24"/>
          <w:szCs w:val="24"/>
          <w:shd w:val="clear" w:color="auto" w:fill="FFFFFF"/>
        </w:rPr>
        <w:t xml:space="preserve">Client LM - migrated to ESA 11/12/2012, ESA3 </w:t>
      </w:r>
      <w:r w:rsidR="00947A24">
        <w:rPr>
          <w:rFonts w:ascii="Arial" w:eastAsia="Times New Roman" w:hAnsi="Arial" w:cs="Arial"/>
          <w:i/>
          <w:sz w:val="24"/>
          <w:szCs w:val="24"/>
          <w:shd w:val="clear" w:color="auto" w:fill="FFFFFF"/>
        </w:rPr>
        <w:t xml:space="preserve">sent </w:t>
      </w:r>
      <w:r w:rsidRPr="00025E8E">
        <w:rPr>
          <w:rFonts w:ascii="Arial" w:eastAsia="Times New Roman" w:hAnsi="Arial" w:cs="Arial"/>
          <w:i/>
          <w:sz w:val="24"/>
          <w:szCs w:val="24"/>
          <w:shd w:val="clear" w:color="auto" w:fill="FFFFFF"/>
        </w:rPr>
        <w:t xml:space="preserve">with adviser cover letter pointing out arrears missing </w:t>
      </w:r>
      <w:r w:rsidR="007F1603">
        <w:rPr>
          <w:rFonts w:ascii="Arial" w:eastAsia="Times New Roman" w:hAnsi="Arial" w:cs="Arial"/>
          <w:i/>
          <w:sz w:val="24"/>
          <w:szCs w:val="24"/>
          <w:shd w:val="clear" w:color="auto" w:fill="FFFFFF"/>
        </w:rPr>
        <w:t xml:space="preserve">- </w:t>
      </w:r>
      <w:r w:rsidRPr="00025E8E">
        <w:rPr>
          <w:rFonts w:ascii="Arial" w:eastAsia="Times New Roman" w:hAnsi="Arial" w:cs="Arial"/>
          <w:i/>
          <w:sz w:val="24"/>
          <w:szCs w:val="24"/>
          <w:shd w:val="clear" w:color="auto" w:fill="FFFFFF"/>
        </w:rPr>
        <w:t xml:space="preserve">submitted 24/01/2017, arrears issued back to date of migration in August 2017. </w:t>
      </w:r>
    </w:p>
    <w:p w14:paraId="41F0DAA6" w14:textId="77777777" w:rsidR="00025E8E" w:rsidRPr="00025E8E" w:rsidRDefault="00025E8E" w:rsidP="00025E8E">
      <w:pPr>
        <w:pStyle w:val="ListParagraph"/>
        <w:spacing w:after="0" w:line="240" w:lineRule="auto"/>
        <w:ind w:left="340"/>
        <w:rPr>
          <w:rFonts w:ascii="Arial" w:eastAsia="Times New Roman" w:hAnsi="Arial" w:cs="Arial"/>
          <w:i/>
          <w:sz w:val="24"/>
          <w:szCs w:val="24"/>
          <w:shd w:val="clear" w:color="auto" w:fill="FFFFFF"/>
        </w:rPr>
      </w:pPr>
    </w:p>
    <w:p w14:paraId="5000EC5E" w14:textId="44757A92" w:rsidR="00025E8E" w:rsidRPr="00025E8E" w:rsidRDefault="00025E8E" w:rsidP="00025E8E">
      <w:pPr>
        <w:pStyle w:val="ListParagraph"/>
        <w:numPr>
          <w:ilvl w:val="0"/>
          <w:numId w:val="19"/>
        </w:numPr>
        <w:spacing w:after="0" w:line="240" w:lineRule="auto"/>
        <w:rPr>
          <w:rFonts w:ascii="Arial" w:eastAsia="Times New Roman" w:hAnsi="Arial" w:cs="Arial"/>
          <w:i/>
          <w:sz w:val="24"/>
          <w:szCs w:val="24"/>
          <w:shd w:val="clear" w:color="auto" w:fill="FFFFFF"/>
        </w:rPr>
      </w:pPr>
      <w:r w:rsidRPr="00025E8E">
        <w:rPr>
          <w:rFonts w:ascii="Arial" w:eastAsia="Times New Roman" w:hAnsi="Arial" w:cs="Arial"/>
          <w:i/>
          <w:sz w:val="24"/>
          <w:szCs w:val="24"/>
          <w:shd w:val="clear" w:color="auto" w:fill="FFFFFF"/>
        </w:rPr>
        <w:t>2 cases at Oldham</w:t>
      </w:r>
      <w:r w:rsidR="00CB687E">
        <w:rPr>
          <w:rFonts w:ascii="Arial" w:eastAsia="Times New Roman" w:hAnsi="Arial" w:cs="Arial"/>
          <w:i/>
          <w:sz w:val="24"/>
          <w:szCs w:val="24"/>
          <w:shd w:val="clear" w:color="auto" w:fill="FFFFFF"/>
        </w:rPr>
        <w:t xml:space="preserve"> (DWP centre dealing with trawl of affected claimants)</w:t>
      </w:r>
      <w:r w:rsidRPr="00025E8E">
        <w:rPr>
          <w:rFonts w:ascii="Arial" w:eastAsia="Times New Roman" w:hAnsi="Arial" w:cs="Arial"/>
          <w:i/>
          <w:sz w:val="24"/>
          <w:szCs w:val="24"/>
          <w:shd w:val="clear" w:color="auto" w:fill="FFFFFF"/>
        </w:rPr>
        <w:t xml:space="preserve"> awaiting decision; NC who migrated to ESA on 21/04/2012 and MH who migrated to ESA 25/06/2014. </w:t>
      </w:r>
    </w:p>
    <w:p w14:paraId="0853849A" w14:textId="77777777" w:rsidR="00025E8E" w:rsidRPr="00025E8E" w:rsidRDefault="00025E8E" w:rsidP="00025E8E">
      <w:pPr>
        <w:pStyle w:val="ListParagraph"/>
        <w:spacing w:after="0" w:line="240" w:lineRule="auto"/>
        <w:ind w:left="340"/>
        <w:rPr>
          <w:rFonts w:ascii="Arial" w:eastAsia="Times New Roman" w:hAnsi="Arial" w:cs="Arial"/>
          <w:i/>
          <w:sz w:val="24"/>
          <w:szCs w:val="24"/>
          <w:shd w:val="clear" w:color="auto" w:fill="FFFFFF"/>
        </w:rPr>
      </w:pPr>
    </w:p>
    <w:p w14:paraId="7057DEF0" w14:textId="324DEEB3" w:rsidR="00025E8E" w:rsidRPr="00E35D4C" w:rsidRDefault="00025E8E" w:rsidP="00025E8E">
      <w:pPr>
        <w:pStyle w:val="ListParagraph"/>
        <w:numPr>
          <w:ilvl w:val="0"/>
          <w:numId w:val="19"/>
        </w:numPr>
        <w:spacing w:after="0" w:line="240" w:lineRule="auto"/>
        <w:rPr>
          <w:rFonts w:ascii="Arial" w:eastAsia="Times New Roman" w:hAnsi="Arial" w:cs="Arial"/>
          <w:i/>
          <w:sz w:val="24"/>
          <w:szCs w:val="24"/>
        </w:rPr>
      </w:pPr>
      <w:r w:rsidRPr="00025E8E">
        <w:rPr>
          <w:rFonts w:ascii="Arial" w:eastAsia="Times New Roman" w:hAnsi="Arial" w:cs="Arial"/>
          <w:i/>
          <w:sz w:val="24"/>
          <w:szCs w:val="24"/>
          <w:shd w:val="clear" w:color="auto" w:fill="FFFFFF"/>
        </w:rPr>
        <w:t xml:space="preserve">1 case at </w:t>
      </w:r>
      <w:r w:rsidR="00947A24">
        <w:rPr>
          <w:rFonts w:ascii="Arial" w:eastAsia="Times New Roman" w:hAnsi="Arial" w:cs="Arial"/>
          <w:i/>
          <w:sz w:val="24"/>
          <w:szCs w:val="24"/>
          <w:shd w:val="clear" w:color="auto" w:fill="FFFFFF"/>
        </w:rPr>
        <w:t>mandatory reconsideration stage as arrears</w:t>
      </w:r>
      <w:r w:rsidRPr="00025E8E">
        <w:rPr>
          <w:rFonts w:ascii="Arial" w:eastAsia="Times New Roman" w:hAnsi="Arial" w:cs="Arial"/>
          <w:i/>
          <w:sz w:val="24"/>
          <w:szCs w:val="24"/>
          <w:shd w:val="clear" w:color="auto" w:fill="FFFFFF"/>
        </w:rPr>
        <w:t xml:space="preserve"> issued back to 2014 when the date of migration was 22/05/2013, awaiting </w:t>
      </w:r>
      <w:r w:rsidR="00947A24">
        <w:rPr>
          <w:rFonts w:ascii="Arial" w:eastAsia="Times New Roman" w:hAnsi="Arial" w:cs="Arial"/>
          <w:i/>
          <w:sz w:val="24"/>
          <w:szCs w:val="24"/>
          <w:shd w:val="clear" w:color="auto" w:fill="FFFFFF"/>
        </w:rPr>
        <w:t>mandatory reconsideration notice</w:t>
      </w:r>
      <w:r w:rsidRPr="00025E8E">
        <w:rPr>
          <w:rFonts w:ascii="Arial" w:eastAsia="Times New Roman" w:hAnsi="Arial" w:cs="Arial"/>
          <w:i/>
          <w:sz w:val="24"/>
          <w:szCs w:val="24"/>
          <w:shd w:val="clear" w:color="auto" w:fill="FFFFFF"/>
        </w:rPr>
        <w:t>.</w:t>
      </w:r>
    </w:p>
    <w:p w14:paraId="2294E97D" w14:textId="77777777" w:rsidR="00E35D4C" w:rsidRPr="00E35D4C" w:rsidRDefault="00E35D4C" w:rsidP="00E35D4C">
      <w:pPr>
        <w:spacing w:after="0" w:line="240" w:lineRule="auto"/>
        <w:rPr>
          <w:rFonts w:ascii="Arial" w:eastAsia="Times New Roman" w:hAnsi="Arial" w:cs="Arial"/>
          <w:i/>
          <w:sz w:val="24"/>
          <w:szCs w:val="24"/>
        </w:rPr>
      </w:pPr>
    </w:p>
    <w:p w14:paraId="28A1D80B" w14:textId="77777777" w:rsidR="00E35D4C" w:rsidRDefault="00E35D4C" w:rsidP="00E35D4C">
      <w:pPr>
        <w:spacing w:after="0" w:line="240" w:lineRule="auto"/>
        <w:rPr>
          <w:rFonts w:ascii="Arial" w:eastAsia="Times New Roman" w:hAnsi="Arial" w:cs="Arial"/>
          <w:b/>
          <w:sz w:val="36"/>
          <w:szCs w:val="36"/>
        </w:rPr>
      </w:pPr>
    </w:p>
    <w:p w14:paraId="74ACC1D4" w14:textId="088D1D18" w:rsidR="00E35D4C" w:rsidRDefault="00E35D4C" w:rsidP="00E35D4C">
      <w:pPr>
        <w:spacing w:after="0" w:line="240" w:lineRule="auto"/>
        <w:rPr>
          <w:rFonts w:ascii="Arial" w:eastAsia="Times New Roman" w:hAnsi="Arial" w:cs="Arial"/>
          <w:b/>
          <w:sz w:val="36"/>
          <w:szCs w:val="36"/>
        </w:rPr>
      </w:pPr>
      <w:r>
        <w:rPr>
          <w:rFonts w:ascii="Arial" w:eastAsia="Times New Roman" w:hAnsi="Arial" w:cs="Arial"/>
          <w:b/>
          <w:sz w:val="36"/>
          <w:szCs w:val="36"/>
        </w:rPr>
        <w:t>Timeline of rightsnet discussion thread</w:t>
      </w:r>
    </w:p>
    <w:p w14:paraId="63E9EBEB" w14:textId="77777777" w:rsidR="00E35D4C" w:rsidRDefault="00E35D4C" w:rsidP="00E35D4C">
      <w:pPr>
        <w:spacing w:after="0" w:line="240" w:lineRule="auto"/>
        <w:rPr>
          <w:rFonts w:ascii="Arial" w:eastAsia="Times New Roman" w:hAnsi="Arial" w:cs="Arial"/>
          <w:b/>
          <w:sz w:val="36"/>
          <w:szCs w:val="36"/>
        </w:rPr>
      </w:pPr>
    </w:p>
    <w:p w14:paraId="16A21A34" w14:textId="4E212146" w:rsidR="00B22BC0" w:rsidRDefault="00B22BC0" w:rsidP="00B22BC0">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 The following is a summary of the </w:t>
      </w:r>
      <w:r w:rsidR="008E3201">
        <w:rPr>
          <w:rFonts w:ascii="Arial" w:eastAsia="Times New Roman" w:hAnsi="Arial" w:cs="Arial"/>
          <w:sz w:val="24"/>
          <w:szCs w:val="24"/>
        </w:rPr>
        <w:t xml:space="preserve">key points of the </w:t>
      </w:r>
      <w:r>
        <w:rPr>
          <w:rFonts w:ascii="Arial" w:eastAsia="Times New Roman" w:hAnsi="Arial" w:cs="Arial"/>
          <w:sz w:val="24"/>
          <w:szCs w:val="24"/>
        </w:rPr>
        <w:t xml:space="preserve">rightsnet discussion thread which can be viewed in full at </w:t>
      </w:r>
      <w:hyperlink r:id="rId14" w:history="1">
        <w:r w:rsidRPr="00DF0615">
          <w:rPr>
            <w:rStyle w:val="Hyperlink"/>
            <w:rFonts w:ascii="Arial" w:eastAsia="Times New Roman" w:hAnsi="Arial" w:cs="Arial"/>
            <w:sz w:val="24"/>
            <w:szCs w:val="24"/>
          </w:rPr>
          <w:t>https://www.rightsnet.org.uk/forums/viewthread/5928</w:t>
        </w:r>
      </w:hyperlink>
      <w:r>
        <w:rPr>
          <w:rFonts w:ascii="Arial" w:eastAsia="Times New Roman" w:hAnsi="Arial" w:cs="Arial"/>
          <w:sz w:val="24"/>
          <w:szCs w:val="24"/>
        </w:rPr>
        <w:t xml:space="preserve">  - the relevant post number</w:t>
      </w:r>
      <w:r w:rsidR="008E3201">
        <w:rPr>
          <w:rFonts w:ascii="Arial" w:eastAsia="Times New Roman" w:hAnsi="Arial" w:cs="Arial"/>
          <w:sz w:val="24"/>
          <w:szCs w:val="24"/>
        </w:rPr>
        <w:t>s</w:t>
      </w:r>
      <w:r>
        <w:rPr>
          <w:rFonts w:ascii="Arial" w:eastAsia="Times New Roman" w:hAnsi="Arial" w:cs="Arial"/>
          <w:sz w:val="24"/>
          <w:szCs w:val="24"/>
        </w:rPr>
        <w:t xml:space="preserve"> </w:t>
      </w:r>
      <w:r w:rsidR="008E3201">
        <w:rPr>
          <w:rFonts w:ascii="Arial" w:eastAsia="Times New Roman" w:hAnsi="Arial" w:cs="Arial"/>
          <w:sz w:val="24"/>
          <w:szCs w:val="24"/>
        </w:rPr>
        <w:t>are highlighted</w:t>
      </w:r>
      <w:r>
        <w:rPr>
          <w:rFonts w:ascii="Arial" w:eastAsia="Times New Roman" w:hAnsi="Arial" w:cs="Arial"/>
          <w:sz w:val="24"/>
          <w:szCs w:val="24"/>
        </w:rPr>
        <w:t xml:space="preserve"> for easy reference. This thread provides evidence of welfare rights </w:t>
      </w:r>
      <w:r w:rsidR="00915551">
        <w:rPr>
          <w:rFonts w:ascii="Arial" w:eastAsia="Times New Roman" w:hAnsi="Arial" w:cs="Arial"/>
          <w:sz w:val="24"/>
          <w:szCs w:val="24"/>
        </w:rPr>
        <w:t xml:space="preserve">advisers’ </w:t>
      </w:r>
      <w:r>
        <w:rPr>
          <w:rFonts w:ascii="Arial" w:eastAsia="Times New Roman" w:hAnsi="Arial" w:cs="Arial"/>
          <w:sz w:val="24"/>
          <w:szCs w:val="24"/>
        </w:rPr>
        <w:t>experiences and actions</w:t>
      </w:r>
      <w:r w:rsidR="008E3201">
        <w:rPr>
          <w:rFonts w:ascii="Arial" w:eastAsia="Times New Roman" w:hAnsi="Arial" w:cs="Arial"/>
          <w:sz w:val="24"/>
          <w:szCs w:val="24"/>
        </w:rPr>
        <w:t xml:space="preserve"> as it happened</w:t>
      </w:r>
      <w:r>
        <w:rPr>
          <w:rFonts w:ascii="Arial" w:eastAsia="Times New Roman" w:hAnsi="Arial" w:cs="Arial"/>
          <w:sz w:val="24"/>
          <w:szCs w:val="24"/>
        </w:rPr>
        <w:t xml:space="preserve"> from February 2014.</w:t>
      </w:r>
    </w:p>
    <w:p w14:paraId="16ACDFEF" w14:textId="77777777" w:rsidR="00B22BC0" w:rsidRDefault="00B22BC0" w:rsidP="00B22BC0">
      <w:pPr>
        <w:spacing w:after="0" w:line="240" w:lineRule="auto"/>
        <w:rPr>
          <w:rFonts w:ascii="Arial" w:eastAsia="Times New Roman" w:hAnsi="Arial" w:cs="Arial"/>
          <w:sz w:val="24"/>
          <w:szCs w:val="24"/>
        </w:rPr>
      </w:pPr>
    </w:p>
    <w:p w14:paraId="0F712C0E" w14:textId="3839C30A" w:rsidR="00B22BC0" w:rsidRDefault="006641E6" w:rsidP="00B22BC0">
      <w:pPr>
        <w:pStyle w:val="ListParagraph"/>
        <w:numPr>
          <w:ilvl w:val="0"/>
          <w:numId w:val="20"/>
        </w:numPr>
        <w:spacing w:after="0" w:line="240" w:lineRule="auto"/>
        <w:rPr>
          <w:rFonts w:ascii="Arial" w:eastAsia="Times New Roman" w:hAnsi="Arial" w:cs="Arial"/>
          <w:sz w:val="24"/>
          <w:szCs w:val="24"/>
        </w:rPr>
      </w:pPr>
      <w:r>
        <w:rPr>
          <w:rFonts w:ascii="Arial" w:eastAsia="Times New Roman" w:hAnsi="Arial" w:cs="Arial"/>
          <w:sz w:val="24"/>
          <w:szCs w:val="24"/>
        </w:rPr>
        <w:t xml:space="preserve"> The </w:t>
      </w:r>
      <w:r w:rsidRPr="008E4C24">
        <w:rPr>
          <w:rFonts w:ascii="Arial" w:eastAsia="Times New Roman" w:hAnsi="Arial" w:cs="Arial"/>
          <w:b/>
          <w:sz w:val="24"/>
          <w:szCs w:val="24"/>
        </w:rPr>
        <w:t>first posting</w:t>
      </w:r>
      <w:r w:rsidR="00013306">
        <w:rPr>
          <w:rFonts w:ascii="Arial" w:eastAsia="Times New Roman" w:hAnsi="Arial" w:cs="Arial"/>
          <w:sz w:val="24"/>
          <w:szCs w:val="24"/>
        </w:rPr>
        <w:t xml:space="preserve"> (by Andrew Dutton)</w:t>
      </w:r>
      <w:r>
        <w:rPr>
          <w:rFonts w:ascii="Arial" w:eastAsia="Times New Roman" w:hAnsi="Arial" w:cs="Arial"/>
          <w:sz w:val="24"/>
          <w:szCs w:val="24"/>
        </w:rPr>
        <w:t xml:space="preserve"> to the thread was on 6 February 2014 when </w:t>
      </w:r>
      <w:r w:rsidR="008E3201">
        <w:rPr>
          <w:rFonts w:ascii="Arial" w:eastAsia="Times New Roman" w:hAnsi="Arial" w:cs="Arial"/>
          <w:sz w:val="24"/>
          <w:szCs w:val="24"/>
        </w:rPr>
        <w:t xml:space="preserve">he </w:t>
      </w:r>
      <w:r>
        <w:rPr>
          <w:rFonts w:ascii="Arial" w:eastAsia="Times New Roman" w:hAnsi="Arial" w:cs="Arial"/>
          <w:sz w:val="24"/>
          <w:szCs w:val="24"/>
        </w:rPr>
        <w:t xml:space="preserve">noticed that too many cases were cropping up where claimants had not been assessed for irESA on migration from incapacity benefit (IB) – </w:t>
      </w:r>
    </w:p>
    <w:p w14:paraId="0CDFC2E2" w14:textId="77777777" w:rsidR="006641E6" w:rsidRPr="006641E6" w:rsidRDefault="006641E6" w:rsidP="006641E6">
      <w:pPr>
        <w:spacing w:after="0" w:line="240" w:lineRule="auto"/>
        <w:rPr>
          <w:rFonts w:ascii="Arial" w:eastAsia="Times New Roman" w:hAnsi="Arial" w:cs="Arial"/>
          <w:sz w:val="24"/>
          <w:szCs w:val="24"/>
        </w:rPr>
      </w:pPr>
    </w:p>
    <w:p w14:paraId="5CEA64E7" w14:textId="4CB9A2EC" w:rsidR="006641E6" w:rsidRPr="006641E6" w:rsidRDefault="008E3201" w:rsidP="006641E6">
      <w:pPr>
        <w:pStyle w:val="NormalWeb"/>
        <w:shd w:val="clear" w:color="auto" w:fill="FFFFFF"/>
        <w:ind w:left="340"/>
        <w:rPr>
          <w:rFonts w:ascii="Arial" w:hAnsi="Arial" w:cs="Arial"/>
          <w:i/>
          <w:color w:val="303335"/>
          <w:sz w:val="24"/>
          <w:szCs w:val="24"/>
        </w:rPr>
      </w:pPr>
      <w:r>
        <w:rPr>
          <w:rFonts w:ascii="Arial" w:hAnsi="Arial" w:cs="Arial"/>
          <w:i/>
          <w:color w:val="303335"/>
          <w:sz w:val="24"/>
          <w:szCs w:val="24"/>
        </w:rPr>
        <w:t>‘</w:t>
      </w:r>
      <w:r w:rsidR="006641E6" w:rsidRPr="006641E6">
        <w:rPr>
          <w:rFonts w:ascii="Arial" w:hAnsi="Arial" w:cs="Arial"/>
          <w:i/>
          <w:color w:val="303335"/>
          <w:sz w:val="24"/>
          <w:szCs w:val="24"/>
        </w:rPr>
        <w:t>This scenario keeps cropping up:</w:t>
      </w:r>
    </w:p>
    <w:p w14:paraId="272DD919" w14:textId="77777777" w:rsidR="006641E6" w:rsidRPr="006641E6" w:rsidRDefault="006641E6" w:rsidP="006641E6">
      <w:pPr>
        <w:pStyle w:val="NormalWeb"/>
        <w:shd w:val="clear" w:color="auto" w:fill="FFFFFF"/>
        <w:ind w:left="340"/>
        <w:rPr>
          <w:rFonts w:ascii="Arial" w:hAnsi="Arial" w:cs="Arial"/>
          <w:i/>
          <w:color w:val="303335"/>
          <w:sz w:val="24"/>
          <w:szCs w:val="24"/>
        </w:rPr>
      </w:pPr>
      <w:r w:rsidRPr="006641E6">
        <w:rPr>
          <w:rFonts w:ascii="Arial" w:hAnsi="Arial" w:cs="Arial"/>
          <w:i/>
          <w:color w:val="303335"/>
          <w:sz w:val="24"/>
          <w:szCs w:val="24"/>
        </w:rPr>
        <w:t>- claimant was on IB without IS top-up</w:t>
      </w:r>
      <w:r w:rsidRPr="006641E6">
        <w:rPr>
          <w:rFonts w:ascii="Arial" w:hAnsi="Arial" w:cs="Arial"/>
          <w:i/>
          <w:color w:val="303335"/>
          <w:sz w:val="24"/>
          <w:szCs w:val="24"/>
        </w:rPr>
        <w:br/>
        <w:t>-migrated to ESA and placed in Support Group</w:t>
      </w:r>
      <w:r w:rsidRPr="006641E6">
        <w:rPr>
          <w:rFonts w:ascii="Arial" w:hAnsi="Arial" w:cs="Arial"/>
          <w:i/>
          <w:color w:val="303335"/>
          <w:sz w:val="24"/>
          <w:szCs w:val="24"/>
        </w:rPr>
        <w:br/>
        <w:t>- receives ESA decision which includes what appears to be an IRESA assessment</w:t>
      </w:r>
      <w:r w:rsidRPr="006641E6">
        <w:rPr>
          <w:rFonts w:ascii="Arial" w:hAnsi="Arial" w:cs="Arial"/>
          <w:i/>
          <w:color w:val="303335"/>
          <w:sz w:val="24"/>
          <w:szCs w:val="24"/>
        </w:rPr>
        <w:br/>
        <w:t>-this assessment tells them that their CESA level is, for instance, £112.05 -  this includes a ‘top-up’ (transitional amount)</w:t>
      </w:r>
      <w:r w:rsidRPr="006641E6">
        <w:rPr>
          <w:rFonts w:ascii="Arial" w:hAnsi="Arial" w:cs="Arial"/>
          <w:i/>
          <w:color w:val="303335"/>
          <w:sz w:val="24"/>
          <w:szCs w:val="24"/>
        </w:rPr>
        <w:br/>
        <w:t>- it also states that their applicable amount for IRESA is £106.50 (£71.70+34.80)</w:t>
      </w:r>
      <w:r w:rsidRPr="006641E6">
        <w:rPr>
          <w:rFonts w:ascii="Arial" w:hAnsi="Arial" w:cs="Arial"/>
          <w:i/>
          <w:color w:val="303335"/>
          <w:sz w:val="24"/>
          <w:szCs w:val="24"/>
        </w:rPr>
        <w:br/>
        <w:t>- therefore they cannot get IRESA</w:t>
      </w:r>
      <w:r w:rsidRPr="006641E6">
        <w:rPr>
          <w:rFonts w:ascii="Arial" w:hAnsi="Arial" w:cs="Arial"/>
          <w:i/>
          <w:color w:val="303335"/>
          <w:sz w:val="24"/>
          <w:szCs w:val="24"/>
        </w:rPr>
        <w:br/>
        <w:t>-the assessment does not include Enhanced Disability Premium </w:t>
      </w:r>
      <w:r w:rsidRPr="006641E6">
        <w:rPr>
          <w:rFonts w:ascii="Arial" w:hAnsi="Arial" w:cs="Arial"/>
          <w:i/>
          <w:color w:val="303335"/>
          <w:sz w:val="24"/>
          <w:szCs w:val="24"/>
        </w:rPr>
        <w:br/>
        <w:t>-some do not include Severe Disability Premium where client is on relevant DLA etc</w:t>
      </w:r>
      <w:r w:rsidRPr="006641E6">
        <w:rPr>
          <w:rFonts w:ascii="Arial" w:hAnsi="Arial" w:cs="Arial"/>
          <w:i/>
          <w:color w:val="303335"/>
          <w:sz w:val="24"/>
          <w:szCs w:val="24"/>
        </w:rPr>
        <w:br/>
        <w:t>-claimant is locked in to this situation as they will not know, without advice, that anything is amiss</w:t>
      </w:r>
    </w:p>
    <w:p w14:paraId="24EE4C21" w14:textId="77777777" w:rsidR="006641E6" w:rsidRPr="006641E6" w:rsidRDefault="006641E6" w:rsidP="006641E6">
      <w:pPr>
        <w:pStyle w:val="NormalWeb"/>
        <w:shd w:val="clear" w:color="auto" w:fill="FFFFFF"/>
        <w:ind w:left="340"/>
        <w:rPr>
          <w:rFonts w:ascii="Arial" w:hAnsi="Arial" w:cs="Arial"/>
          <w:i/>
          <w:color w:val="303335"/>
          <w:sz w:val="24"/>
          <w:szCs w:val="24"/>
        </w:rPr>
      </w:pPr>
      <w:r w:rsidRPr="006641E6">
        <w:rPr>
          <w:rFonts w:ascii="Arial" w:hAnsi="Arial" w:cs="Arial"/>
          <w:i/>
          <w:color w:val="303335"/>
          <w:sz w:val="24"/>
          <w:szCs w:val="24"/>
        </w:rPr>
        <w:t>We have dealt with individual cases, lodged appeals, made complaints – but it seems as if there are more than just a few of these cases about, and that there may be many people (nationwide?) who have been underpaid or not paid IRESA because premiums have been missed.</w:t>
      </w:r>
    </w:p>
    <w:p w14:paraId="64EB62BB" w14:textId="77777777" w:rsidR="006641E6" w:rsidRPr="006641E6" w:rsidRDefault="006641E6" w:rsidP="006641E6">
      <w:pPr>
        <w:pStyle w:val="NormalWeb"/>
        <w:shd w:val="clear" w:color="auto" w:fill="FFFFFF"/>
        <w:ind w:left="340"/>
        <w:rPr>
          <w:rFonts w:ascii="Arial" w:hAnsi="Arial" w:cs="Arial"/>
          <w:i/>
          <w:color w:val="303335"/>
          <w:sz w:val="24"/>
          <w:szCs w:val="24"/>
        </w:rPr>
      </w:pPr>
      <w:r w:rsidRPr="006641E6">
        <w:rPr>
          <w:rFonts w:ascii="Arial" w:hAnsi="Arial" w:cs="Arial"/>
          <w:i/>
          <w:color w:val="303335"/>
          <w:sz w:val="24"/>
          <w:szCs w:val="24"/>
        </w:rPr>
        <w:t>As far as I can see, JC+ should be checking cases like these for possible entitlement to IRESA but it would appear at least in some cases that something’s going wrong.</w:t>
      </w:r>
    </w:p>
    <w:p w14:paraId="35378A7C" w14:textId="4A384A2B" w:rsidR="006641E6" w:rsidRDefault="006641E6" w:rsidP="006641E6">
      <w:pPr>
        <w:pStyle w:val="NormalWeb"/>
        <w:shd w:val="clear" w:color="auto" w:fill="FFFFFF"/>
        <w:ind w:left="340"/>
        <w:rPr>
          <w:rFonts w:ascii="Arial" w:hAnsi="Arial" w:cs="Arial"/>
          <w:color w:val="303335"/>
          <w:sz w:val="24"/>
          <w:szCs w:val="24"/>
        </w:rPr>
      </w:pPr>
      <w:r w:rsidRPr="006641E6">
        <w:rPr>
          <w:rFonts w:ascii="Arial" w:hAnsi="Arial" w:cs="Arial"/>
          <w:i/>
          <w:color w:val="303335"/>
          <w:sz w:val="24"/>
          <w:szCs w:val="24"/>
        </w:rPr>
        <w:t>Is anyone else finding this?</w:t>
      </w:r>
      <w:r w:rsidR="008E3201">
        <w:rPr>
          <w:rFonts w:ascii="Arial" w:hAnsi="Arial" w:cs="Arial"/>
          <w:i/>
          <w:color w:val="303335"/>
          <w:sz w:val="24"/>
          <w:szCs w:val="24"/>
        </w:rPr>
        <w:t>’</w:t>
      </w:r>
    </w:p>
    <w:p w14:paraId="2EC875C3" w14:textId="2A206359" w:rsidR="006641E6" w:rsidRDefault="00C0458B" w:rsidP="00C0458B">
      <w:pPr>
        <w:pStyle w:val="NormalWeb"/>
        <w:numPr>
          <w:ilvl w:val="0"/>
          <w:numId w:val="24"/>
        </w:numPr>
        <w:shd w:val="clear" w:color="auto" w:fill="FFFFFF"/>
        <w:rPr>
          <w:rFonts w:ascii="Arial" w:hAnsi="Arial" w:cs="Arial"/>
          <w:color w:val="303335"/>
          <w:sz w:val="24"/>
          <w:szCs w:val="24"/>
        </w:rPr>
      </w:pPr>
      <w:r>
        <w:rPr>
          <w:rFonts w:ascii="Arial" w:hAnsi="Arial" w:cs="Arial"/>
          <w:color w:val="303335"/>
          <w:sz w:val="24"/>
          <w:szCs w:val="24"/>
        </w:rPr>
        <w:t xml:space="preserve"> </w:t>
      </w:r>
      <w:r w:rsidRPr="008E4C24">
        <w:rPr>
          <w:rFonts w:ascii="Arial" w:hAnsi="Arial" w:cs="Arial"/>
          <w:b/>
          <w:color w:val="303335"/>
          <w:sz w:val="24"/>
          <w:szCs w:val="24"/>
        </w:rPr>
        <w:t>Post 3</w:t>
      </w:r>
      <w:r>
        <w:rPr>
          <w:rFonts w:ascii="Arial" w:hAnsi="Arial" w:cs="Arial"/>
          <w:color w:val="303335"/>
          <w:sz w:val="24"/>
          <w:szCs w:val="24"/>
        </w:rPr>
        <w:t xml:space="preserve"> references the Decision Maker’s Guide and quotes directly from it – paragraph 45414 states – </w:t>
      </w:r>
    </w:p>
    <w:p w14:paraId="37E88F08" w14:textId="56D0934C" w:rsidR="00013306" w:rsidRDefault="008E3201" w:rsidP="00C0458B">
      <w:pPr>
        <w:spacing w:after="0" w:line="240" w:lineRule="auto"/>
        <w:ind w:left="340"/>
        <w:rPr>
          <w:rFonts w:ascii="Arial" w:eastAsia="Times New Roman" w:hAnsi="Arial" w:cs="Arial"/>
          <w:i/>
          <w:color w:val="303335"/>
          <w:sz w:val="24"/>
          <w:szCs w:val="24"/>
          <w:shd w:val="clear" w:color="auto" w:fill="FFFFFF"/>
        </w:rPr>
      </w:pPr>
      <w:r>
        <w:rPr>
          <w:rFonts w:ascii="Arial" w:eastAsia="Times New Roman" w:hAnsi="Arial" w:cs="Arial"/>
          <w:i/>
          <w:color w:val="303335"/>
          <w:sz w:val="24"/>
          <w:szCs w:val="24"/>
          <w:shd w:val="clear" w:color="auto" w:fill="FFFFFF"/>
        </w:rPr>
        <w:t>‘</w:t>
      </w:r>
      <w:r w:rsidR="00C0458B" w:rsidRPr="00C0458B">
        <w:rPr>
          <w:rFonts w:ascii="Arial" w:eastAsia="Times New Roman" w:hAnsi="Arial" w:cs="Arial"/>
          <w:i/>
          <w:color w:val="303335"/>
          <w:sz w:val="24"/>
          <w:szCs w:val="24"/>
          <w:shd w:val="clear" w:color="auto" w:fill="FFFFFF"/>
        </w:rPr>
        <w:t>This enables the Secretary of State to establish whether a claimant whose existing</w:t>
      </w:r>
      <w:r w:rsidR="00C0458B">
        <w:rPr>
          <w:rFonts w:ascii="Arial" w:eastAsia="Times New Roman" w:hAnsi="Arial" w:cs="Arial"/>
          <w:i/>
          <w:color w:val="303335"/>
          <w:sz w:val="24"/>
          <w:szCs w:val="24"/>
        </w:rPr>
        <w:t xml:space="preserve"> </w:t>
      </w:r>
      <w:r w:rsidR="00C0458B" w:rsidRPr="00C0458B">
        <w:rPr>
          <w:rFonts w:ascii="Arial" w:eastAsia="Times New Roman" w:hAnsi="Arial" w:cs="Arial"/>
          <w:i/>
          <w:color w:val="303335"/>
          <w:sz w:val="24"/>
          <w:szCs w:val="24"/>
          <w:shd w:val="clear" w:color="auto" w:fill="FFFFFF"/>
        </w:rPr>
        <w:t>award is IB or SDA</w:t>
      </w:r>
      <w:r w:rsidR="00C0458B">
        <w:rPr>
          <w:rFonts w:ascii="Arial" w:eastAsia="Times New Roman" w:hAnsi="Arial" w:cs="Arial"/>
          <w:i/>
          <w:color w:val="303335"/>
          <w:sz w:val="24"/>
          <w:szCs w:val="24"/>
          <w:shd w:val="clear" w:color="auto" w:fill="FFFFFF"/>
        </w:rPr>
        <w:t xml:space="preserve"> [severe disablement allowance]</w:t>
      </w:r>
      <w:r w:rsidR="00C0458B" w:rsidRPr="00C0458B">
        <w:rPr>
          <w:rFonts w:ascii="Arial" w:eastAsia="Times New Roman" w:hAnsi="Arial" w:cs="Arial"/>
          <w:i/>
          <w:color w:val="303335"/>
          <w:sz w:val="24"/>
          <w:szCs w:val="24"/>
          <w:shd w:val="clear" w:color="auto" w:fill="FFFFFF"/>
        </w:rPr>
        <w:t>, and who is not entitled to IS</w:t>
      </w:r>
      <w:r w:rsidR="00013306">
        <w:rPr>
          <w:rFonts w:ascii="Arial" w:eastAsia="Times New Roman" w:hAnsi="Arial" w:cs="Arial"/>
          <w:i/>
          <w:color w:val="303335"/>
          <w:sz w:val="24"/>
          <w:szCs w:val="24"/>
          <w:shd w:val="clear" w:color="auto" w:fill="FFFFFF"/>
        </w:rPr>
        <w:t xml:space="preserve"> [income support]</w:t>
      </w:r>
      <w:r w:rsidR="00C0458B" w:rsidRPr="00C0458B">
        <w:rPr>
          <w:rFonts w:ascii="Arial" w:eastAsia="Times New Roman" w:hAnsi="Arial" w:cs="Arial"/>
          <w:i/>
          <w:color w:val="303335"/>
          <w:sz w:val="24"/>
          <w:szCs w:val="24"/>
          <w:shd w:val="clear" w:color="auto" w:fill="FFFFFF"/>
        </w:rPr>
        <w:t>, might be entitled to ESA(IR) as well</w:t>
      </w:r>
      <w:r w:rsidR="00013306">
        <w:rPr>
          <w:rFonts w:ascii="Arial" w:eastAsia="Times New Roman" w:hAnsi="Arial" w:cs="Arial"/>
          <w:i/>
          <w:color w:val="303335"/>
          <w:sz w:val="24"/>
          <w:szCs w:val="24"/>
          <w:shd w:val="clear" w:color="auto" w:fill="FFFFFF"/>
        </w:rPr>
        <w:t xml:space="preserve"> </w:t>
      </w:r>
      <w:r w:rsidR="00C0458B" w:rsidRPr="00C0458B">
        <w:rPr>
          <w:rFonts w:ascii="Arial" w:eastAsia="Times New Roman" w:hAnsi="Arial" w:cs="Arial"/>
          <w:i/>
          <w:color w:val="303335"/>
          <w:sz w:val="24"/>
          <w:szCs w:val="24"/>
          <w:shd w:val="clear" w:color="auto" w:fill="FFFFFF"/>
        </w:rPr>
        <w:t>as ESA(Cont) on conversion.</w:t>
      </w:r>
      <w:r w:rsidR="00C0458B" w:rsidRPr="00C0458B">
        <w:rPr>
          <w:rFonts w:ascii="Arial" w:eastAsia="Times New Roman" w:hAnsi="Arial" w:cs="Arial"/>
          <w:i/>
          <w:color w:val="303335"/>
          <w:sz w:val="24"/>
          <w:szCs w:val="24"/>
        </w:rPr>
        <w:br/>
      </w:r>
    </w:p>
    <w:p w14:paraId="00EA9FCB" w14:textId="2195C67A" w:rsidR="00C0458B" w:rsidRDefault="00C0458B" w:rsidP="00C0458B">
      <w:pPr>
        <w:spacing w:after="0" w:line="240" w:lineRule="auto"/>
        <w:ind w:left="340"/>
        <w:rPr>
          <w:rFonts w:ascii="Arial" w:eastAsia="Times New Roman" w:hAnsi="Arial" w:cs="Arial"/>
          <w:color w:val="303335"/>
          <w:sz w:val="24"/>
          <w:szCs w:val="24"/>
          <w:shd w:val="clear" w:color="auto" w:fill="FFFFFF"/>
        </w:rPr>
      </w:pPr>
      <w:r w:rsidRPr="00C0458B">
        <w:rPr>
          <w:rFonts w:ascii="Arial" w:eastAsia="Times New Roman" w:hAnsi="Arial" w:cs="Arial"/>
          <w:i/>
          <w:color w:val="303335"/>
          <w:sz w:val="24"/>
          <w:szCs w:val="24"/>
          <w:shd w:val="clear" w:color="auto" w:fill="FFFFFF"/>
        </w:rPr>
        <w:t>Example</w:t>
      </w:r>
      <w:r w:rsidRPr="00C0458B">
        <w:rPr>
          <w:rFonts w:ascii="Arial" w:eastAsia="Times New Roman" w:hAnsi="Arial" w:cs="Arial"/>
          <w:i/>
          <w:color w:val="303335"/>
          <w:sz w:val="24"/>
          <w:szCs w:val="24"/>
        </w:rPr>
        <w:br/>
      </w:r>
      <w:r w:rsidRPr="00C0458B">
        <w:rPr>
          <w:rFonts w:ascii="Arial" w:eastAsia="Times New Roman" w:hAnsi="Arial" w:cs="Arial"/>
          <w:i/>
          <w:color w:val="303335"/>
          <w:sz w:val="24"/>
          <w:szCs w:val="24"/>
          <w:shd w:val="clear" w:color="auto" w:fill="FFFFFF"/>
        </w:rPr>
        <w:t>Carlton is entitled to IB of £91.40. During the conversion phase the Secretary of</w:t>
      </w:r>
      <w:r w:rsidR="00013306">
        <w:rPr>
          <w:rFonts w:ascii="Arial" w:eastAsia="Times New Roman" w:hAnsi="Arial" w:cs="Arial"/>
          <w:i/>
          <w:color w:val="303335"/>
          <w:sz w:val="24"/>
          <w:szCs w:val="24"/>
        </w:rPr>
        <w:t xml:space="preserve"> </w:t>
      </w:r>
      <w:r w:rsidRPr="00C0458B">
        <w:rPr>
          <w:rFonts w:ascii="Arial" w:eastAsia="Times New Roman" w:hAnsi="Arial" w:cs="Arial"/>
          <w:i/>
          <w:color w:val="303335"/>
          <w:sz w:val="24"/>
          <w:szCs w:val="24"/>
          <w:shd w:val="clear" w:color="auto" w:fill="FFFFFF"/>
        </w:rPr>
        <w:t>State establishes that he has no other income. Following application of the WCA</w:t>
      </w:r>
      <w:r w:rsidR="00013306">
        <w:rPr>
          <w:rFonts w:ascii="Arial" w:eastAsia="Times New Roman" w:hAnsi="Arial" w:cs="Arial"/>
          <w:i/>
          <w:color w:val="303335"/>
          <w:sz w:val="24"/>
          <w:szCs w:val="24"/>
          <w:shd w:val="clear" w:color="auto" w:fill="FFFFFF"/>
        </w:rPr>
        <w:t xml:space="preserve"> [work capability assessment]</w:t>
      </w:r>
      <w:r w:rsidRPr="00C0458B">
        <w:rPr>
          <w:rFonts w:ascii="Arial" w:eastAsia="Times New Roman" w:hAnsi="Arial" w:cs="Arial"/>
          <w:i/>
          <w:color w:val="303335"/>
          <w:sz w:val="24"/>
          <w:szCs w:val="24"/>
          <w:shd w:val="clear" w:color="auto" w:fill="FFFFFF"/>
        </w:rPr>
        <w:t>,</w:t>
      </w:r>
      <w:r w:rsidR="00013306">
        <w:rPr>
          <w:rFonts w:ascii="Arial" w:eastAsia="Times New Roman" w:hAnsi="Arial" w:cs="Arial"/>
          <w:i/>
          <w:color w:val="303335"/>
          <w:sz w:val="24"/>
          <w:szCs w:val="24"/>
        </w:rPr>
        <w:t xml:space="preserve"> </w:t>
      </w:r>
      <w:r w:rsidRPr="00C0458B">
        <w:rPr>
          <w:rFonts w:ascii="Arial" w:eastAsia="Times New Roman" w:hAnsi="Arial" w:cs="Arial"/>
          <w:i/>
          <w:color w:val="303335"/>
          <w:sz w:val="24"/>
          <w:szCs w:val="24"/>
          <w:shd w:val="clear" w:color="auto" w:fill="FFFFFF"/>
        </w:rPr>
        <w:t>Carlton is placed in the support group. On conversion, Carlton is entitled to ESA of</w:t>
      </w:r>
      <w:r w:rsidR="00013306">
        <w:rPr>
          <w:rFonts w:ascii="Arial" w:eastAsia="Times New Roman" w:hAnsi="Arial" w:cs="Arial"/>
          <w:i/>
          <w:color w:val="303335"/>
          <w:sz w:val="24"/>
          <w:szCs w:val="24"/>
        </w:rPr>
        <w:t xml:space="preserve"> </w:t>
      </w:r>
      <w:r w:rsidRPr="00C0458B">
        <w:rPr>
          <w:rFonts w:ascii="Arial" w:eastAsia="Times New Roman" w:hAnsi="Arial" w:cs="Arial"/>
          <w:i/>
          <w:color w:val="303335"/>
          <w:sz w:val="24"/>
          <w:szCs w:val="24"/>
          <w:shd w:val="clear" w:color="auto" w:fill="FFFFFF"/>
        </w:rPr>
        <w:t>£110.50 made up of ESA(Cont) of £96.85 and ESA(IR) of £13.65 (EDP).</w:t>
      </w:r>
      <w:r w:rsidR="008E3201">
        <w:rPr>
          <w:rFonts w:ascii="Arial" w:eastAsia="Times New Roman" w:hAnsi="Arial" w:cs="Arial"/>
          <w:i/>
          <w:color w:val="303335"/>
          <w:sz w:val="24"/>
          <w:szCs w:val="24"/>
          <w:shd w:val="clear" w:color="auto" w:fill="FFFFFF"/>
        </w:rPr>
        <w:t>’</w:t>
      </w:r>
    </w:p>
    <w:p w14:paraId="2E0F66D9" w14:textId="77777777" w:rsidR="00013306" w:rsidRDefault="00013306" w:rsidP="00C0458B">
      <w:pPr>
        <w:spacing w:after="0" w:line="240" w:lineRule="auto"/>
        <w:ind w:left="340"/>
        <w:rPr>
          <w:rFonts w:ascii="Arial" w:eastAsia="Times New Roman" w:hAnsi="Arial" w:cs="Arial"/>
          <w:color w:val="303335"/>
          <w:sz w:val="24"/>
          <w:szCs w:val="24"/>
          <w:shd w:val="clear" w:color="auto" w:fill="FFFFFF"/>
        </w:rPr>
      </w:pPr>
    </w:p>
    <w:p w14:paraId="1FE957C5" w14:textId="67234E9E" w:rsidR="00013306" w:rsidRDefault="00013306" w:rsidP="000133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Pr="008E4C24">
        <w:rPr>
          <w:rFonts w:ascii="Arial" w:eastAsia="Times New Roman" w:hAnsi="Arial" w:cs="Arial"/>
          <w:b/>
          <w:sz w:val="24"/>
          <w:szCs w:val="24"/>
        </w:rPr>
        <w:t>Post</w:t>
      </w:r>
      <w:r w:rsidR="008E4C24" w:rsidRPr="008E4C24">
        <w:rPr>
          <w:rFonts w:ascii="Arial" w:eastAsia="Times New Roman" w:hAnsi="Arial" w:cs="Arial"/>
          <w:b/>
          <w:sz w:val="24"/>
          <w:szCs w:val="24"/>
        </w:rPr>
        <w:t>s</w:t>
      </w:r>
      <w:r w:rsidRPr="008E4C24">
        <w:rPr>
          <w:rFonts w:ascii="Arial" w:eastAsia="Times New Roman" w:hAnsi="Arial" w:cs="Arial"/>
          <w:b/>
          <w:sz w:val="24"/>
          <w:szCs w:val="24"/>
        </w:rPr>
        <w:t xml:space="preserve"> 5 to 8</w:t>
      </w:r>
      <w:r>
        <w:rPr>
          <w:rFonts w:ascii="Arial" w:eastAsia="Times New Roman" w:hAnsi="Arial" w:cs="Arial"/>
          <w:sz w:val="24"/>
          <w:szCs w:val="24"/>
        </w:rPr>
        <w:t xml:space="preserve"> (all posted the same day as the original post) confirm that similar errors are being found elsewhere in England</w:t>
      </w:r>
      <w:r w:rsidR="00E6602D">
        <w:rPr>
          <w:rFonts w:ascii="Arial" w:eastAsia="Times New Roman" w:hAnsi="Arial" w:cs="Arial"/>
          <w:sz w:val="24"/>
          <w:szCs w:val="24"/>
        </w:rPr>
        <w:t>,</w:t>
      </w:r>
      <w:r>
        <w:rPr>
          <w:rFonts w:ascii="Arial" w:eastAsia="Times New Roman" w:hAnsi="Arial" w:cs="Arial"/>
          <w:sz w:val="24"/>
          <w:szCs w:val="24"/>
        </w:rPr>
        <w:t xml:space="preserve"> and in Scotland and Wales.</w:t>
      </w:r>
    </w:p>
    <w:p w14:paraId="0F416AAA" w14:textId="77777777" w:rsidR="00013306" w:rsidRDefault="00013306" w:rsidP="00013306">
      <w:pPr>
        <w:spacing w:after="0" w:line="240" w:lineRule="auto"/>
        <w:rPr>
          <w:rFonts w:ascii="Arial" w:eastAsia="Times New Roman" w:hAnsi="Arial" w:cs="Arial"/>
          <w:sz w:val="24"/>
          <w:szCs w:val="24"/>
        </w:rPr>
      </w:pPr>
    </w:p>
    <w:p w14:paraId="1FB84A62" w14:textId="4AEE0051" w:rsidR="00013306" w:rsidRDefault="00013306" w:rsidP="000133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9</w:t>
      </w:r>
      <w:r>
        <w:rPr>
          <w:rFonts w:ascii="Arial" w:eastAsia="Times New Roman" w:hAnsi="Arial" w:cs="Arial"/>
          <w:sz w:val="24"/>
          <w:szCs w:val="24"/>
        </w:rPr>
        <w:t xml:space="preserve"> Mr Dutton suggests that a national caseload trawl is necessary and at post 22 he follows this up with a letter to DWP at Caxton House (a copy of the letter is at the end of the report – please note that the date on the letter says 3/7/13 but it should say 3/7/14</w:t>
      </w:r>
      <w:r w:rsidR="00ED350A">
        <w:rPr>
          <w:rFonts w:ascii="Arial" w:eastAsia="Times New Roman" w:hAnsi="Arial" w:cs="Arial"/>
          <w:sz w:val="24"/>
          <w:szCs w:val="24"/>
        </w:rPr>
        <w:t xml:space="preserve"> as that is when it was sent</w:t>
      </w:r>
      <w:r w:rsidR="0027355F">
        <w:rPr>
          <w:rFonts w:ascii="Arial" w:eastAsia="Times New Roman" w:hAnsi="Arial" w:cs="Arial"/>
          <w:sz w:val="24"/>
          <w:szCs w:val="24"/>
        </w:rPr>
        <w:t xml:space="preserve"> as confirmed in the thread</w:t>
      </w:r>
      <w:r w:rsidR="00ED350A">
        <w:rPr>
          <w:rFonts w:ascii="Arial" w:eastAsia="Times New Roman" w:hAnsi="Arial" w:cs="Arial"/>
          <w:sz w:val="24"/>
          <w:szCs w:val="24"/>
        </w:rPr>
        <w:t>) – the letter sets out how the award letters to claimants are confusing and that the DWP is not following its own guidance by failing to assess for irESA</w:t>
      </w:r>
      <w:r w:rsidR="0027355F">
        <w:rPr>
          <w:rFonts w:ascii="Arial" w:eastAsia="Times New Roman" w:hAnsi="Arial" w:cs="Arial"/>
          <w:sz w:val="24"/>
          <w:szCs w:val="24"/>
        </w:rPr>
        <w:t>.</w:t>
      </w:r>
    </w:p>
    <w:p w14:paraId="3A69894D" w14:textId="77777777" w:rsidR="008E3201" w:rsidRPr="008E3201" w:rsidRDefault="008E3201" w:rsidP="008E3201">
      <w:pPr>
        <w:spacing w:after="0" w:line="240" w:lineRule="auto"/>
        <w:rPr>
          <w:rFonts w:ascii="Arial" w:eastAsia="Times New Roman" w:hAnsi="Arial" w:cs="Arial"/>
          <w:sz w:val="24"/>
          <w:szCs w:val="24"/>
        </w:rPr>
      </w:pPr>
    </w:p>
    <w:p w14:paraId="09EBE980" w14:textId="685D4767" w:rsidR="008E3201" w:rsidRDefault="008E3201" w:rsidP="000133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30</w:t>
      </w:r>
      <w:r>
        <w:rPr>
          <w:rFonts w:ascii="Arial" w:eastAsia="Times New Roman" w:hAnsi="Arial" w:cs="Arial"/>
          <w:sz w:val="24"/>
          <w:szCs w:val="24"/>
        </w:rPr>
        <w:t xml:space="preserve"> Mr Dutton advises that he has received a reply (after a prompt) from the DWP Ministerial Correspondence section ending with ‘</w:t>
      </w:r>
      <w:r w:rsidRPr="008E3201">
        <w:rPr>
          <w:rFonts w:ascii="Arial" w:eastAsia="Times New Roman" w:hAnsi="Arial" w:cs="Arial"/>
          <w:i/>
          <w:sz w:val="24"/>
          <w:szCs w:val="24"/>
        </w:rPr>
        <w:t>I have ensure</w:t>
      </w:r>
      <w:r w:rsidR="00566791">
        <w:rPr>
          <w:rFonts w:ascii="Arial" w:eastAsia="Times New Roman" w:hAnsi="Arial" w:cs="Arial"/>
          <w:i/>
          <w:sz w:val="24"/>
          <w:szCs w:val="24"/>
        </w:rPr>
        <w:t>d</w:t>
      </w:r>
      <w:r w:rsidRPr="008E3201">
        <w:rPr>
          <w:rFonts w:ascii="Arial" w:eastAsia="Times New Roman" w:hAnsi="Arial" w:cs="Arial"/>
          <w:i/>
          <w:sz w:val="24"/>
          <w:szCs w:val="24"/>
        </w:rPr>
        <w:t xml:space="preserve"> that the team responsible has been made aware of your comments which they will take into account on their next review</w:t>
      </w:r>
      <w:r>
        <w:rPr>
          <w:rFonts w:ascii="Arial" w:eastAsia="Times New Roman" w:hAnsi="Arial" w:cs="Arial"/>
          <w:sz w:val="24"/>
          <w:szCs w:val="24"/>
        </w:rPr>
        <w:t xml:space="preserve">’. It is worth noting that this letter pre-dates the decision in </w:t>
      </w:r>
      <w:r w:rsidRPr="00C35C29">
        <w:rPr>
          <w:rFonts w:ascii="Arial" w:eastAsia="Times New Roman" w:hAnsi="Arial" w:cs="Arial"/>
          <w:i/>
          <w:sz w:val="24"/>
          <w:szCs w:val="24"/>
        </w:rPr>
        <w:t>LH v SSWP</w:t>
      </w:r>
      <w:r>
        <w:rPr>
          <w:rStyle w:val="FootnoteReference"/>
          <w:rFonts w:ascii="Arial" w:eastAsia="Times New Roman" w:hAnsi="Arial" w:cs="Arial"/>
          <w:sz w:val="24"/>
          <w:szCs w:val="24"/>
        </w:rPr>
        <w:footnoteReference w:id="4"/>
      </w:r>
      <w:r w:rsidR="00482EB3">
        <w:rPr>
          <w:rFonts w:ascii="Arial" w:eastAsia="Times New Roman" w:hAnsi="Arial" w:cs="Arial"/>
          <w:sz w:val="24"/>
          <w:szCs w:val="24"/>
        </w:rPr>
        <w:t>.</w:t>
      </w:r>
      <w:r>
        <w:rPr>
          <w:rFonts w:ascii="Arial" w:eastAsia="Times New Roman" w:hAnsi="Arial" w:cs="Arial"/>
          <w:sz w:val="24"/>
          <w:szCs w:val="24"/>
        </w:rPr>
        <w:t xml:space="preserve"> </w:t>
      </w:r>
    </w:p>
    <w:p w14:paraId="4FB21A5B" w14:textId="77777777" w:rsidR="00482EB3" w:rsidRPr="00482EB3" w:rsidRDefault="00482EB3" w:rsidP="00482EB3">
      <w:pPr>
        <w:spacing w:after="0" w:line="240" w:lineRule="auto"/>
        <w:rPr>
          <w:rFonts w:ascii="Arial" w:eastAsia="Times New Roman" w:hAnsi="Arial" w:cs="Arial"/>
          <w:sz w:val="24"/>
          <w:szCs w:val="24"/>
        </w:rPr>
      </w:pPr>
    </w:p>
    <w:p w14:paraId="1E9388FE" w14:textId="2F76E91F" w:rsidR="00482EB3" w:rsidRDefault="00482EB3" w:rsidP="00013306">
      <w:pPr>
        <w:pStyle w:val="ListParagraph"/>
        <w:numPr>
          <w:ilvl w:val="0"/>
          <w:numId w:val="24"/>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33</w:t>
      </w:r>
      <w:r>
        <w:rPr>
          <w:rFonts w:ascii="Arial" w:eastAsia="Times New Roman" w:hAnsi="Arial" w:cs="Arial"/>
          <w:sz w:val="24"/>
          <w:szCs w:val="24"/>
        </w:rPr>
        <w:t xml:space="preserve"> another adviser – Rosie W - advises that she had attended an appeal which lapsed prior to the hearing as the presenting officer </w:t>
      </w:r>
      <w:r w:rsidR="00705441">
        <w:rPr>
          <w:rFonts w:ascii="Arial" w:eastAsia="Times New Roman" w:hAnsi="Arial" w:cs="Arial"/>
          <w:sz w:val="24"/>
          <w:szCs w:val="24"/>
        </w:rPr>
        <w:t>gave her a copy of DWP</w:t>
      </w:r>
      <w:r>
        <w:rPr>
          <w:rFonts w:ascii="Arial" w:eastAsia="Times New Roman" w:hAnsi="Arial" w:cs="Arial"/>
          <w:sz w:val="24"/>
          <w:szCs w:val="24"/>
        </w:rPr>
        <w:t xml:space="preserve"> internal guidance</w:t>
      </w:r>
      <w:r w:rsidR="00705441">
        <w:rPr>
          <w:rFonts w:ascii="Arial" w:eastAsia="Times New Roman" w:hAnsi="Arial" w:cs="Arial"/>
          <w:sz w:val="24"/>
          <w:szCs w:val="24"/>
        </w:rPr>
        <w:t xml:space="preserve"> (attached to the post),</w:t>
      </w:r>
      <w:r>
        <w:rPr>
          <w:rFonts w:ascii="Arial" w:eastAsia="Times New Roman" w:hAnsi="Arial" w:cs="Arial"/>
          <w:sz w:val="24"/>
          <w:szCs w:val="24"/>
        </w:rPr>
        <w:t xml:space="preserve"> </w:t>
      </w:r>
      <w:r w:rsidR="00FB0FB5">
        <w:rPr>
          <w:rFonts w:ascii="Arial" w:eastAsia="Times New Roman" w:hAnsi="Arial" w:cs="Arial"/>
          <w:sz w:val="24"/>
          <w:szCs w:val="24"/>
        </w:rPr>
        <w:t>dated 5 June 2013</w:t>
      </w:r>
      <w:r w:rsidR="00705441">
        <w:rPr>
          <w:rFonts w:ascii="Arial" w:eastAsia="Times New Roman" w:hAnsi="Arial" w:cs="Arial"/>
          <w:sz w:val="24"/>
          <w:szCs w:val="24"/>
        </w:rPr>
        <w:t>,</w:t>
      </w:r>
      <w:r w:rsidR="00FB0FB5">
        <w:rPr>
          <w:rFonts w:ascii="Arial" w:eastAsia="Times New Roman" w:hAnsi="Arial" w:cs="Arial"/>
          <w:sz w:val="24"/>
          <w:szCs w:val="24"/>
        </w:rPr>
        <w:t xml:space="preserve"> </w:t>
      </w:r>
      <w:r>
        <w:rPr>
          <w:rFonts w:ascii="Arial" w:eastAsia="Times New Roman" w:hAnsi="Arial" w:cs="Arial"/>
          <w:sz w:val="24"/>
          <w:szCs w:val="24"/>
        </w:rPr>
        <w:t xml:space="preserve">which </w:t>
      </w:r>
      <w:r w:rsidR="00FB0FB5">
        <w:rPr>
          <w:rFonts w:ascii="Arial" w:eastAsia="Times New Roman" w:hAnsi="Arial" w:cs="Arial"/>
          <w:sz w:val="24"/>
          <w:szCs w:val="24"/>
        </w:rPr>
        <w:t>confirm</w:t>
      </w:r>
      <w:r>
        <w:rPr>
          <w:rFonts w:ascii="Arial" w:eastAsia="Times New Roman" w:hAnsi="Arial" w:cs="Arial"/>
          <w:sz w:val="24"/>
          <w:szCs w:val="24"/>
        </w:rPr>
        <w:t xml:space="preserve">s – </w:t>
      </w:r>
    </w:p>
    <w:p w14:paraId="1A0D1CEB" w14:textId="77777777" w:rsidR="00482EB3" w:rsidRPr="00482EB3" w:rsidRDefault="00482EB3" w:rsidP="00482EB3">
      <w:pPr>
        <w:spacing w:after="0" w:line="240" w:lineRule="auto"/>
        <w:rPr>
          <w:rFonts w:ascii="Arial" w:eastAsia="Times New Roman" w:hAnsi="Arial" w:cs="Arial"/>
          <w:sz w:val="24"/>
          <w:szCs w:val="24"/>
        </w:rPr>
      </w:pPr>
    </w:p>
    <w:p w14:paraId="3381138F" w14:textId="4E4D9749" w:rsidR="00482EB3" w:rsidRDefault="00FB0FB5" w:rsidP="00482EB3">
      <w:pPr>
        <w:pStyle w:val="ListParagraph"/>
        <w:spacing w:after="0" w:line="240" w:lineRule="auto"/>
        <w:ind w:left="340"/>
        <w:rPr>
          <w:rFonts w:ascii="Arial" w:eastAsia="Times New Roman" w:hAnsi="Arial" w:cs="Arial"/>
          <w:i/>
          <w:sz w:val="24"/>
          <w:szCs w:val="24"/>
        </w:rPr>
      </w:pPr>
      <w:r>
        <w:rPr>
          <w:rFonts w:ascii="Arial" w:eastAsia="Times New Roman" w:hAnsi="Arial" w:cs="Arial"/>
          <w:i/>
          <w:sz w:val="24"/>
          <w:szCs w:val="24"/>
        </w:rPr>
        <w:t>‘Where a claimant was previously entitled to IB, the DM [decision maker] should therefore consider whether they are entitled to ESA(IR) as well as (C) on conversion even if they were not entitled to IS [income support]. If this is not done at conversion, and the claimant would have been entitled to ESA(IR) at that date, the conversion decision should be revised for official error.</w:t>
      </w:r>
    </w:p>
    <w:p w14:paraId="59813EA8" w14:textId="77777777" w:rsidR="00FB0FB5" w:rsidRDefault="00FB0FB5" w:rsidP="00482EB3">
      <w:pPr>
        <w:pStyle w:val="ListParagraph"/>
        <w:spacing w:after="0" w:line="240" w:lineRule="auto"/>
        <w:ind w:left="340"/>
        <w:rPr>
          <w:rFonts w:ascii="Arial" w:eastAsia="Times New Roman" w:hAnsi="Arial" w:cs="Arial"/>
          <w:i/>
          <w:sz w:val="24"/>
          <w:szCs w:val="24"/>
        </w:rPr>
      </w:pPr>
    </w:p>
    <w:p w14:paraId="11B1A6B6" w14:textId="4E06FA0C" w:rsidR="00FB0FB5" w:rsidRDefault="00FB0FB5" w:rsidP="00482EB3">
      <w:pPr>
        <w:pStyle w:val="ListParagraph"/>
        <w:spacing w:after="0" w:line="240" w:lineRule="auto"/>
        <w:ind w:left="340"/>
        <w:rPr>
          <w:rFonts w:ascii="Arial" w:eastAsia="Times New Roman" w:hAnsi="Arial" w:cs="Arial"/>
          <w:i/>
          <w:sz w:val="24"/>
          <w:szCs w:val="24"/>
        </w:rPr>
      </w:pPr>
      <w:r>
        <w:rPr>
          <w:rFonts w:ascii="Arial" w:eastAsia="Times New Roman" w:hAnsi="Arial" w:cs="Arial"/>
          <w:i/>
          <w:sz w:val="24"/>
          <w:szCs w:val="24"/>
        </w:rPr>
        <w:t>The guidance in DMG Chapter 45 will be expanded as soon as possible to make this clearer.’</w:t>
      </w:r>
    </w:p>
    <w:p w14:paraId="1A3140CA" w14:textId="77777777" w:rsidR="00705441" w:rsidRDefault="00705441" w:rsidP="00482EB3">
      <w:pPr>
        <w:pStyle w:val="ListParagraph"/>
        <w:spacing w:after="0" w:line="240" w:lineRule="auto"/>
        <w:ind w:left="340"/>
        <w:rPr>
          <w:rFonts w:ascii="Arial" w:eastAsia="Times New Roman" w:hAnsi="Arial" w:cs="Arial"/>
          <w:i/>
          <w:sz w:val="24"/>
          <w:szCs w:val="24"/>
        </w:rPr>
      </w:pPr>
    </w:p>
    <w:p w14:paraId="6E8F461E" w14:textId="63D840B0" w:rsidR="00705441" w:rsidRDefault="00705441" w:rsidP="0070544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35</w:t>
      </w:r>
      <w:r>
        <w:rPr>
          <w:rFonts w:ascii="Arial" w:eastAsia="Times New Roman" w:hAnsi="Arial" w:cs="Arial"/>
          <w:sz w:val="24"/>
          <w:szCs w:val="24"/>
        </w:rPr>
        <w:t>, pending an Upper Tribunal hearing, DWP paid out full arrears – 27 months worth – to the estate of a claimant who had sadly recently died.</w:t>
      </w:r>
    </w:p>
    <w:p w14:paraId="7A5B72C7" w14:textId="77777777" w:rsidR="00705441" w:rsidRDefault="00705441" w:rsidP="00705441">
      <w:pPr>
        <w:spacing w:after="0" w:line="240" w:lineRule="auto"/>
        <w:rPr>
          <w:rFonts w:ascii="Arial" w:eastAsia="Times New Roman" w:hAnsi="Arial" w:cs="Arial"/>
          <w:sz w:val="24"/>
          <w:szCs w:val="24"/>
        </w:rPr>
      </w:pPr>
    </w:p>
    <w:p w14:paraId="26109172" w14:textId="12C37061" w:rsidR="00705441" w:rsidRDefault="00705441" w:rsidP="0070544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41</w:t>
      </w:r>
      <w:r>
        <w:rPr>
          <w:rFonts w:ascii="Arial" w:eastAsia="Times New Roman" w:hAnsi="Arial" w:cs="Arial"/>
          <w:sz w:val="24"/>
          <w:szCs w:val="24"/>
        </w:rPr>
        <w:t xml:space="preserve"> Mr Dutton remarks that he is still awaiting a reply from the Director General to his July 2014 letter, and then at </w:t>
      </w:r>
      <w:r w:rsidRPr="008E4C24">
        <w:rPr>
          <w:rFonts w:ascii="Arial" w:eastAsia="Times New Roman" w:hAnsi="Arial" w:cs="Arial"/>
          <w:b/>
          <w:sz w:val="24"/>
          <w:szCs w:val="24"/>
        </w:rPr>
        <w:t>post 43</w:t>
      </w:r>
      <w:r>
        <w:rPr>
          <w:rFonts w:ascii="Arial" w:eastAsia="Times New Roman" w:hAnsi="Arial" w:cs="Arial"/>
          <w:sz w:val="24"/>
          <w:szCs w:val="24"/>
        </w:rPr>
        <w:t xml:space="preserve"> (29 January 2015) he receives a reply saying the stakeholder group is going to look at the letters.</w:t>
      </w:r>
    </w:p>
    <w:p w14:paraId="6EBAEC43" w14:textId="77777777" w:rsidR="00705441" w:rsidRPr="00705441" w:rsidRDefault="00705441" w:rsidP="00705441">
      <w:pPr>
        <w:spacing w:after="0" w:line="240" w:lineRule="auto"/>
        <w:rPr>
          <w:rFonts w:ascii="Arial" w:eastAsia="Times New Roman" w:hAnsi="Arial" w:cs="Arial"/>
          <w:sz w:val="24"/>
          <w:szCs w:val="24"/>
        </w:rPr>
      </w:pPr>
    </w:p>
    <w:p w14:paraId="6DD15554" w14:textId="22009D8E" w:rsidR="00705441" w:rsidRDefault="00705441" w:rsidP="00705441">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44</w:t>
      </w:r>
      <w:r>
        <w:rPr>
          <w:rFonts w:ascii="Arial" w:eastAsia="Times New Roman" w:hAnsi="Arial" w:cs="Arial"/>
          <w:sz w:val="24"/>
          <w:szCs w:val="24"/>
        </w:rPr>
        <w:t xml:space="preserve"> it is highlighted that a lot of these cases are coming to the attention of advisers as claimants </w:t>
      </w:r>
      <w:r w:rsidR="00474489">
        <w:rPr>
          <w:rFonts w:ascii="Arial" w:eastAsia="Times New Roman" w:hAnsi="Arial" w:cs="Arial"/>
          <w:sz w:val="24"/>
          <w:szCs w:val="24"/>
        </w:rPr>
        <w:t>are getting fines and penalties from the NHS Business Services Authority due to not paying prescription/dental charges as they believed they were getting irESA. On investigating the charges the DWP error comes to light.</w:t>
      </w:r>
    </w:p>
    <w:p w14:paraId="021B678A" w14:textId="77777777" w:rsidR="00BF6EC9" w:rsidRPr="00BF6EC9" w:rsidRDefault="00BF6EC9" w:rsidP="00BF6EC9">
      <w:pPr>
        <w:spacing w:after="0" w:line="240" w:lineRule="auto"/>
        <w:rPr>
          <w:rFonts w:ascii="Arial" w:eastAsia="Times New Roman" w:hAnsi="Arial" w:cs="Arial"/>
          <w:sz w:val="24"/>
          <w:szCs w:val="24"/>
        </w:rPr>
      </w:pPr>
    </w:p>
    <w:p w14:paraId="13E8A773" w14:textId="69C6C53F" w:rsidR="00BF6EC9" w:rsidRPr="00DB597E" w:rsidRDefault="008E4C24" w:rsidP="00BF6EC9">
      <w:pPr>
        <w:pStyle w:val="ListParagraph"/>
        <w:numPr>
          <w:ilvl w:val="0"/>
          <w:numId w:val="25"/>
        </w:numPr>
        <w:spacing w:after="0" w:line="240" w:lineRule="auto"/>
        <w:rPr>
          <w:rFonts w:ascii="Arial" w:eastAsia="Times New Roman" w:hAnsi="Arial" w:cs="Arial"/>
          <w:sz w:val="24"/>
          <w:szCs w:val="24"/>
        </w:rPr>
      </w:pPr>
      <w:r>
        <w:rPr>
          <w:rFonts w:ascii="Arial" w:eastAsia="Times New Roman" w:hAnsi="Arial" w:cs="Arial"/>
          <w:sz w:val="24"/>
          <w:szCs w:val="24"/>
        </w:rPr>
        <w:t xml:space="preserve"> </w:t>
      </w:r>
      <w:r w:rsidR="00BF6EC9">
        <w:rPr>
          <w:rFonts w:ascii="Arial" w:eastAsia="Times New Roman" w:hAnsi="Arial" w:cs="Arial"/>
          <w:sz w:val="24"/>
          <w:szCs w:val="24"/>
        </w:rPr>
        <w:t xml:space="preserve">At </w:t>
      </w:r>
      <w:r w:rsidR="00BF6EC9" w:rsidRPr="008E4C24">
        <w:rPr>
          <w:rFonts w:ascii="Arial" w:eastAsia="Times New Roman" w:hAnsi="Arial" w:cs="Arial"/>
          <w:b/>
          <w:sz w:val="24"/>
          <w:szCs w:val="24"/>
        </w:rPr>
        <w:t>post 50</w:t>
      </w:r>
      <w:r w:rsidR="00BF6EC9">
        <w:rPr>
          <w:rFonts w:ascii="Arial" w:eastAsia="Times New Roman" w:hAnsi="Arial" w:cs="Arial"/>
          <w:sz w:val="24"/>
          <w:szCs w:val="24"/>
        </w:rPr>
        <w:t xml:space="preserve"> a Freedom of Information response</w:t>
      </w:r>
      <w:r w:rsidR="00E15C33">
        <w:rPr>
          <w:rFonts w:ascii="Arial" w:eastAsia="Times New Roman" w:hAnsi="Arial" w:cs="Arial"/>
          <w:sz w:val="24"/>
          <w:szCs w:val="24"/>
        </w:rPr>
        <w:t xml:space="preserve"> dated 7 May 2015</w:t>
      </w:r>
      <w:r w:rsidR="00BF6EC9">
        <w:rPr>
          <w:rFonts w:ascii="Arial" w:eastAsia="Times New Roman" w:hAnsi="Arial" w:cs="Arial"/>
          <w:sz w:val="24"/>
          <w:szCs w:val="24"/>
        </w:rPr>
        <w:t xml:space="preserve"> from the DWP states – </w:t>
      </w:r>
    </w:p>
    <w:p w14:paraId="6D22B9BE" w14:textId="77777777" w:rsidR="00BF6EC9" w:rsidRPr="00BF6EC9" w:rsidRDefault="00BF6EC9" w:rsidP="00BF6EC9">
      <w:pPr>
        <w:pStyle w:val="NormalWeb"/>
        <w:shd w:val="clear" w:color="auto" w:fill="FFFFFF"/>
        <w:ind w:left="340"/>
        <w:rPr>
          <w:rFonts w:ascii="Arial" w:hAnsi="Arial" w:cs="Arial"/>
          <w:i/>
          <w:color w:val="303335"/>
          <w:sz w:val="24"/>
          <w:szCs w:val="24"/>
        </w:rPr>
      </w:pPr>
      <w:r w:rsidRPr="00BF6EC9">
        <w:rPr>
          <w:rFonts w:ascii="Arial" w:eastAsia="Times New Roman" w:hAnsi="Arial" w:cs="Arial"/>
          <w:i/>
          <w:sz w:val="24"/>
          <w:szCs w:val="24"/>
        </w:rPr>
        <w:t>‘</w:t>
      </w:r>
      <w:r w:rsidRPr="00BF6EC9">
        <w:rPr>
          <w:rFonts w:ascii="Arial" w:hAnsi="Arial" w:cs="Arial"/>
          <w:i/>
          <w:color w:val="303335"/>
          <w:sz w:val="24"/>
          <w:szCs w:val="24"/>
        </w:rPr>
        <w:t>In assessing benefit entitlement the Department firstly considers whether a person entitled to IB or SDA is eligible for contributory ESA and then whether a transitional addition is needed to maintain a claimant’s benefit income. Secondly for those entitled to Income Support consideration is given to eligibility for income-related ESA and again whether a transitional addition is payable to maintain benefit income.</w:t>
      </w:r>
    </w:p>
    <w:p w14:paraId="2DE11A80" w14:textId="53FD39BE" w:rsidR="00BF6EC9" w:rsidRDefault="00BF6EC9" w:rsidP="00BF6EC9">
      <w:pPr>
        <w:shd w:val="clear" w:color="auto" w:fill="FFFFFF"/>
        <w:spacing w:before="100" w:beforeAutospacing="1" w:after="100" w:afterAutospacing="1" w:line="240" w:lineRule="auto"/>
        <w:ind w:left="340"/>
        <w:rPr>
          <w:rFonts w:ascii="Arial" w:eastAsiaTheme="minorEastAsia" w:hAnsi="Arial" w:cs="Arial"/>
          <w:i/>
          <w:color w:val="303335"/>
          <w:sz w:val="24"/>
          <w:szCs w:val="24"/>
        </w:rPr>
      </w:pPr>
      <w:r w:rsidRPr="00BF6EC9">
        <w:rPr>
          <w:rFonts w:ascii="Arial" w:eastAsiaTheme="minorEastAsia" w:hAnsi="Arial" w:cs="Arial"/>
          <w:i/>
          <w:color w:val="303335"/>
          <w:sz w:val="24"/>
          <w:szCs w:val="24"/>
        </w:rPr>
        <w:t>When it is known that IB or SDA recipients have limited capability for work DWP attempts to phone them to give general advice about income-related entitlement so that they can request an application form.  Advice about income-related ESA is also given in the written notification when a claimant’s entitlement is converted to ESA. Depending on the response of claimants they are sent an application form and asked to provide the information necessary to determine income-related entitlement.’</w:t>
      </w:r>
    </w:p>
    <w:p w14:paraId="61A920D4" w14:textId="628B25FF" w:rsidR="00E15C33" w:rsidRDefault="00E0784A" w:rsidP="00E15C33">
      <w:pPr>
        <w:pStyle w:val="ListParagraph"/>
        <w:numPr>
          <w:ilvl w:val="0"/>
          <w:numId w:val="26"/>
        </w:numPr>
        <w:shd w:val="clear" w:color="auto" w:fill="FFFFFF"/>
        <w:spacing w:before="100" w:beforeAutospacing="1" w:after="100" w:afterAutospacing="1" w:line="240" w:lineRule="auto"/>
        <w:rPr>
          <w:rFonts w:ascii="Arial" w:eastAsiaTheme="minorEastAsia" w:hAnsi="Arial" w:cs="Arial"/>
          <w:color w:val="303335"/>
          <w:sz w:val="24"/>
          <w:szCs w:val="24"/>
        </w:rPr>
      </w:pPr>
      <w:r>
        <w:rPr>
          <w:rFonts w:ascii="Arial" w:eastAsiaTheme="minorEastAsia" w:hAnsi="Arial" w:cs="Arial"/>
          <w:color w:val="303335"/>
          <w:sz w:val="24"/>
          <w:szCs w:val="24"/>
        </w:rPr>
        <w:t xml:space="preserve"> At </w:t>
      </w:r>
      <w:r w:rsidRPr="008E4C24">
        <w:rPr>
          <w:rFonts w:ascii="Arial" w:eastAsiaTheme="minorEastAsia" w:hAnsi="Arial" w:cs="Arial"/>
          <w:b/>
          <w:color w:val="303335"/>
          <w:sz w:val="24"/>
          <w:szCs w:val="24"/>
        </w:rPr>
        <w:t>posts 61 and 62</w:t>
      </w:r>
      <w:r w:rsidR="00DE7B0C" w:rsidRPr="00F313A5">
        <w:rPr>
          <w:rFonts w:ascii="Arial" w:eastAsiaTheme="minorEastAsia" w:hAnsi="Arial" w:cs="Arial"/>
          <w:color w:val="303335"/>
          <w:sz w:val="24"/>
          <w:szCs w:val="24"/>
        </w:rPr>
        <w:t>,</w:t>
      </w:r>
      <w:r>
        <w:rPr>
          <w:rFonts w:ascii="Arial" w:eastAsiaTheme="minorEastAsia" w:hAnsi="Arial" w:cs="Arial"/>
          <w:color w:val="303335"/>
          <w:sz w:val="24"/>
          <w:szCs w:val="24"/>
        </w:rPr>
        <w:t xml:space="preserve"> in June 2016</w:t>
      </w:r>
      <w:r w:rsidR="00DE7B0C">
        <w:rPr>
          <w:rFonts w:ascii="Arial" w:eastAsiaTheme="minorEastAsia" w:hAnsi="Arial" w:cs="Arial"/>
          <w:color w:val="303335"/>
          <w:sz w:val="24"/>
          <w:szCs w:val="24"/>
        </w:rPr>
        <w:t>,</w:t>
      </w:r>
      <w:r>
        <w:rPr>
          <w:rFonts w:ascii="Arial" w:eastAsiaTheme="minorEastAsia" w:hAnsi="Arial" w:cs="Arial"/>
          <w:color w:val="303335"/>
          <w:sz w:val="24"/>
          <w:szCs w:val="24"/>
        </w:rPr>
        <w:t xml:space="preserve"> more examples of cases giving full backdating are given – the DWP is still accepting that official error has been made.</w:t>
      </w:r>
    </w:p>
    <w:p w14:paraId="5CB7CBEC" w14:textId="77777777" w:rsidR="00E0784A" w:rsidRDefault="00E0784A" w:rsidP="00E0784A">
      <w:pPr>
        <w:pStyle w:val="ListParagraph"/>
        <w:shd w:val="clear" w:color="auto" w:fill="FFFFFF"/>
        <w:spacing w:before="100" w:beforeAutospacing="1" w:after="100" w:afterAutospacing="1" w:line="240" w:lineRule="auto"/>
        <w:ind w:left="340"/>
        <w:rPr>
          <w:rFonts w:ascii="Arial" w:eastAsiaTheme="minorEastAsia" w:hAnsi="Arial" w:cs="Arial"/>
          <w:color w:val="303335"/>
          <w:sz w:val="24"/>
          <w:szCs w:val="24"/>
        </w:rPr>
      </w:pPr>
    </w:p>
    <w:p w14:paraId="3872A553" w14:textId="1E932750" w:rsidR="00240D86" w:rsidRPr="00566791" w:rsidRDefault="00E0784A" w:rsidP="00566791">
      <w:pPr>
        <w:pStyle w:val="ListParagraph"/>
        <w:numPr>
          <w:ilvl w:val="0"/>
          <w:numId w:val="26"/>
        </w:numPr>
        <w:shd w:val="clear" w:color="auto" w:fill="FFFFFF"/>
        <w:spacing w:before="100" w:beforeAutospacing="1" w:after="100" w:afterAutospacing="1" w:line="240" w:lineRule="auto"/>
        <w:rPr>
          <w:rFonts w:ascii="Arial" w:eastAsiaTheme="minorEastAsia" w:hAnsi="Arial" w:cs="Arial"/>
          <w:color w:val="303335"/>
          <w:sz w:val="24"/>
          <w:szCs w:val="24"/>
        </w:rPr>
      </w:pPr>
      <w:r>
        <w:rPr>
          <w:rFonts w:ascii="Arial" w:eastAsiaTheme="minorEastAsia" w:hAnsi="Arial" w:cs="Arial"/>
          <w:color w:val="303335"/>
          <w:sz w:val="24"/>
          <w:szCs w:val="24"/>
        </w:rPr>
        <w:t xml:space="preserve"> At </w:t>
      </w:r>
      <w:r w:rsidRPr="008E4C24">
        <w:rPr>
          <w:rFonts w:ascii="Arial" w:eastAsiaTheme="minorEastAsia" w:hAnsi="Arial" w:cs="Arial"/>
          <w:b/>
          <w:color w:val="303335"/>
          <w:sz w:val="24"/>
          <w:szCs w:val="24"/>
        </w:rPr>
        <w:t>post 63</w:t>
      </w:r>
      <w:r w:rsidR="00FA3C9D" w:rsidRPr="00F313A5">
        <w:rPr>
          <w:rFonts w:ascii="Arial" w:eastAsiaTheme="minorEastAsia" w:hAnsi="Arial" w:cs="Arial"/>
          <w:color w:val="303335"/>
          <w:sz w:val="24"/>
          <w:szCs w:val="24"/>
        </w:rPr>
        <w:t>,</w:t>
      </w:r>
      <w:r>
        <w:rPr>
          <w:rFonts w:ascii="Arial" w:eastAsiaTheme="minorEastAsia" w:hAnsi="Arial" w:cs="Arial"/>
          <w:color w:val="303335"/>
          <w:sz w:val="24"/>
          <w:szCs w:val="24"/>
        </w:rPr>
        <w:t xml:space="preserve"> </w:t>
      </w:r>
      <w:r w:rsidR="00566791">
        <w:rPr>
          <w:rFonts w:ascii="Arial" w:eastAsiaTheme="minorEastAsia" w:hAnsi="Arial" w:cs="Arial"/>
          <w:color w:val="303335"/>
          <w:sz w:val="24"/>
          <w:szCs w:val="24"/>
        </w:rPr>
        <w:t>in June 2016</w:t>
      </w:r>
      <w:r w:rsidR="00FA3C9D">
        <w:rPr>
          <w:rFonts w:ascii="Arial" w:eastAsiaTheme="minorEastAsia" w:hAnsi="Arial" w:cs="Arial"/>
          <w:color w:val="303335"/>
          <w:sz w:val="24"/>
          <w:szCs w:val="24"/>
        </w:rPr>
        <w:t>,</w:t>
      </w:r>
      <w:r w:rsidR="00566791">
        <w:rPr>
          <w:rFonts w:ascii="Arial" w:eastAsiaTheme="minorEastAsia" w:hAnsi="Arial" w:cs="Arial"/>
          <w:color w:val="303335"/>
          <w:sz w:val="24"/>
          <w:szCs w:val="24"/>
        </w:rPr>
        <w:t xml:space="preserve"> </w:t>
      </w:r>
      <w:r>
        <w:rPr>
          <w:rFonts w:ascii="Arial" w:eastAsiaTheme="minorEastAsia" w:hAnsi="Arial" w:cs="Arial"/>
          <w:color w:val="303335"/>
          <w:sz w:val="24"/>
          <w:szCs w:val="24"/>
        </w:rPr>
        <w:t>the issue is raised with the stakeholders’ group again as the problem has not been resolved</w:t>
      </w:r>
      <w:r w:rsidR="00240D86">
        <w:rPr>
          <w:rFonts w:ascii="Arial" w:eastAsiaTheme="minorEastAsia" w:hAnsi="Arial" w:cs="Arial"/>
          <w:color w:val="303335"/>
          <w:sz w:val="24"/>
          <w:szCs w:val="24"/>
        </w:rPr>
        <w:t>.</w:t>
      </w:r>
    </w:p>
    <w:p w14:paraId="75349722" w14:textId="77777777" w:rsidR="00240D86" w:rsidRDefault="00240D86" w:rsidP="00240D86">
      <w:pPr>
        <w:pStyle w:val="ListParagraph"/>
        <w:shd w:val="clear" w:color="auto" w:fill="FFFFFF"/>
        <w:spacing w:before="100" w:beforeAutospacing="1" w:after="100" w:afterAutospacing="1" w:line="240" w:lineRule="auto"/>
        <w:ind w:left="340"/>
        <w:rPr>
          <w:rFonts w:ascii="Arial" w:eastAsiaTheme="minorEastAsia" w:hAnsi="Arial" w:cs="Arial"/>
          <w:color w:val="303335"/>
          <w:sz w:val="24"/>
          <w:szCs w:val="24"/>
        </w:rPr>
      </w:pPr>
    </w:p>
    <w:p w14:paraId="381A8BF8" w14:textId="5B8B2EEF" w:rsidR="00240D86" w:rsidRDefault="00240D86" w:rsidP="00240D86">
      <w:pPr>
        <w:pStyle w:val="ListParagraph"/>
        <w:numPr>
          <w:ilvl w:val="0"/>
          <w:numId w:val="26"/>
        </w:numPr>
        <w:shd w:val="clear" w:color="auto" w:fill="FFFFFF"/>
        <w:spacing w:before="100" w:beforeAutospacing="1" w:after="100" w:afterAutospacing="1" w:line="240" w:lineRule="auto"/>
        <w:rPr>
          <w:rFonts w:ascii="Arial" w:eastAsiaTheme="minorEastAsia" w:hAnsi="Arial" w:cs="Arial"/>
          <w:color w:val="303335"/>
          <w:sz w:val="24"/>
          <w:szCs w:val="24"/>
        </w:rPr>
      </w:pPr>
      <w:r>
        <w:rPr>
          <w:rFonts w:ascii="Arial" w:eastAsiaTheme="minorEastAsia" w:hAnsi="Arial" w:cs="Arial"/>
          <w:color w:val="303335"/>
          <w:sz w:val="24"/>
          <w:szCs w:val="24"/>
        </w:rPr>
        <w:t xml:space="preserve"> At </w:t>
      </w:r>
      <w:r w:rsidRPr="008E4C24">
        <w:rPr>
          <w:rFonts w:ascii="Arial" w:eastAsiaTheme="minorEastAsia" w:hAnsi="Arial" w:cs="Arial"/>
          <w:b/>
          <w:color w:val="303335"/>
          <w:sz w:val="24"/>
          <w:szCs w:val="24"/>
        </w:rPr>
        <w:t>post 73</w:t>
      </w:r>
      <w:r w:rsidR="00FA3C9D" w:rsidRPr="00F313A5">
        <w:rPr>
          <w:rFonts w:ascii="Arial" w:eastAsiaTheme="minorEastAsia" w:hAnsi="Arial" w:cs="Arial"/>
          <w:color w:val="303335"/>
          <w:sz w:val="24"/>
          <w:szCs w:val="24"/>
        </w:rPr>
        <w:t>,</w:t>
      </w:r>
      <w:r w:rsidR="00566791">
        <w:rPr>
          <w:rFonts w:ascii="Arial" w:eastAsiaTheme="minorEastAsia" w:hAnsi="Arial" w:cs="Arial"/>
          <w:b/>
          <w:color w:val="303335"/>
          <w:sz w:val="24"/>
          <w:szCs w:val="24"/>
        </w:rPr>
        <w:t xml:space="preserve"> </w:t>
      </w:r>
      <w:r w:rsidR="00566791">
        <w:rPr>
          <w:rFonts w:ascii="Arial" w:eastAsiaTheme="minorEastAsia" w:hAnsi="Arial" w:cs="Arial"/>
          <w:color w:val="303335"/>
          <w:sz w:val="24"/>
          <w:szCs w:val="24"/>
        </w:rPr>
        <w:t>in August 2016</w:t>
      </w:r>
      <w:r w:rsidR="00FA3C9D">
        <w:rPr>
          <w:rFonts w:ascii="Arial" w:eastAsiaTheme="minorEastAsia" w:hAnsi="Arial" w:cs="Arial"/>
          <w:color w:val="303335"/>
          <w:sz w:val="24"/>
          <w:szCs w:val="24"/>
        </w:rPr>
        <w:t>,</w:t>
      </w:r>
      <w:r>
        <w:rPr>
          <w:rFonts w:ascii="Arial" w:eastAsiaTheme="minorEastAsia" w:hAnsi="Arial" w:cs="Arial"/>
          <w:color w:val="303335"/>
          <w:sz w:val="24"/>
          <w:szCs w:val="24"/>
        </w:rPr>
        <w:t xml:space="preserve"> a reply is received from the stakeholders’ group stating – </w:t>
      </w:r>
    </w:p>
    <w:p w14:paraId="670C35D4" w14:textId="77777777" w:rsidR="00240D86" w:rsidRDefault="00240D86" w:rsidP="00240D86">
      <w:pPr>
        <w:pStyle w:val="ListParagraph"/>
        <w:spacing w:after="0" w:line="240" w:lineRule="auto"/>
        <w:ind w:left="340"/>
        <w:rPr>
          <w:rFonts w:ascii="Arial" w:eastAsia="Times New Roman" w:hAnsi="Arial" w:cs="Arial"/>
          <w:i/>
          <w:color w:val="303335"/>
          <w:sz w:val="24"/>
          <w:szCs w:val="24"/>
          <w:shd w:val="clear" w:color="auto" w:fill="FFFFFF"/>
        </w:rPr>
      </w:pPr>
    </w:p>
    <w:p w14:paraId="360B2249" w14:textId="6C36DFDB" w:rsidR="00240D86" w:rsidRDefault="00240D86" w:rsidP="00240D86">
      <w:pPr>
        <w:pStyle w:val="ListParagraph"/>
        <w:spacing w:after="0" w:line="240" w:lineRule="auto"/>
        <w:ind w:left="340"/>
        <w:rPr>
          <w:rFonts w:ascii="Arial" w:eastAsia="Times New Roman" w:hAnsi="Arial" w:cs="Arial"/>
          <w:i/>
          <w:color w:val="303335"/>
          <w:sz w:val="24"/>
          <w:szCs w:val="24"/>
          <w:shd w:val="clear" w:color="auto" w:fill="FFFFFF"/>
        </w:rPr>
      </w:pPr>
      <w:r>
        <w:rPr>
          <w:rFonts w:ascii="Arial" w:eastAsia="Times New Roman" w:hAnsi="Arial" w:cs="Arial"/>
          <w:i/>
          <w:color w:val="303335"/>
          <w:sz w:val="24"/>
          <w:szCs w:val="24"/>
          <w:shd w:val="clear" w:color="auto" w:fill="FFFFFF"/>
        </w:rPr>
        <w:t>‘</w:t>
      </w:r>
      <w:r w:rsidRPr="00240D86">
        <w:rPr>
          <w:rFonts w:ascii="Arial" w:eastAsia="Times New Roman" w:hAnsi="Arial" w:cs="Arial"/>
          <w:i/>
          <w:color w:val="303335"/>
          <w:sz w:val="24"/>
          <w:szCs w:val="24"/>
          <w:shd w:val="clear" w:color="auto" w:fill="FFFFFF"/>
        </w:rPr>
        <w:t>I have now spoken with colleagues working on the Health and Work Portfolio who have advised that Work has been undertaken to ensure claimants have the correct premiums awarded at the correct time.</w:t>
      </w:r>
      <w:r w:rsidRPr="00240D86">
        <w:rPr>
          <w:rFonts w:ascii="Arial" w:eastAsia="Times New Roman" w:hAnsi="Arial" w:cs="Arial"/>
          <w:i/>
          <w:color w:val="303335"/>
          <w:sz w:val="24"/>
          <w:szCs w:val="24"/>
          <w:shd w:val="clear" w:color="auto" w:fill="FFFFFF"/>
        </w:rPr>
        <w:br/>
        <w:t>As the last claims to be affected have already started the journey, it is late in the process to issue guidance. However if there is any particular area/ district that seems to be standing out as at fault or even a couple of examples can be provided we can investigate and issue a direct reminder to Benefit Centres as appropriate.</w:t>
      </w:r>
      <w:r w:rsidRPr="00240D86">
        <w:rPr>
          <w:rFonts w:ascii="Arial" w:eastAsia="Times New Roman" w:hAnsi="Arial" w:cs="Arial"/>
          <w:i/>
          <w:color w:val="303335"/>
          <w:sz w:val="24"/>
          <w:szCs w:val="24"/>
          <w:shd w:val="clear" w:color="auto" w:fill="FFFFFF"/>
        </w:rPr>
        <w:br/>
        <w:t>If you are able to provide these details they will be passed on to colleagues to investigate.</w:t>
      </w:r>
      <w:r>
        <w:rPr>
          <w:rFonts w:ascii="Arial" w:eastAsia="Times New Roman" w:hAnsi="Arial" w:cs="Arial"/>
          <w:i/>
          <w:color w:val="303335"/>
          <w:sz w:val="24"/>
          <w:szCs w:val="24"/>
          <w:shd w:val="clear" w:color="auto" w:fill="FFFFFF"/>
        </w:rPr>
        <w:t>’</w:t>
      </w:r>
    </w:p>
    <w:p w14:paraId="1036D344" w14:textId="77777777" w:rsidR="00240D86" w:rsidRDefault="00240D86" w:rsidP="00240D86">
      <w:pPr>
        <w:pStyle w:val="ListParagraph"/>
        <w:spacing w:after="0" w:line="240" w:lineRule="auto"/>
        <w:ind w:left="340"/>
        <w:rPr>
          <w:rFonts w:ascii="Arial" w:eastAsia="Times New Roman" w:hAnsi="Arial" w:cs="Arial"/>
          <w:i/>
          <w:color w:val="303335"/>
          <w:sz w:val="24"/>
          <w:szCs w:val="24"/>
          <w:shd w:val="clear" w:color="auto" w:fill="FFFFFF"/>
        </w:rPr>
      </w:pPr>
    </w:p>
    <w:p w14:paraId="2253912D" w14:textId="5C702F16" w:rsidR="00240D86" w:rsidRDefault="00240D86" w:rsidP="00240D86">
      <w:pPr>
        <w:pStyle w:val="ListParagraph"/>
        <w:spacing w:after="0" w:line="240" w:lineRule="auto"/>
        <w:ind w:left="340"/>
        <w:rPr>
          <w:rFonts w:ascii="Arial" w:eastAsia="Times New Roman" w:hAnsi="Arial" w:cs="Arial"/>
          <w:color w:val="303335"/>
          <w:sz w:val="24"/>
          <w:szCs w:val="24"/>
          <w:shd w:val="clear" w:color="auto" w:fill="FFFFFF"/>
        </w:rPr>
      </w:pPr>
      <w:r>
        <w:rPr>
          <w:rFonts w:ascii="Arial" w:eastAsia="Times New Roman" w:hAnsi="Arial" w:cs="Arial"/>
          <w:color w:val="303335"/>
          <w:sz w:val="24"/>
          <w:szCs w:val="24"/>
          <w:shd w:val="clear" w:color="auto" w:fill="FFFFFF"/>
        </w:rPr>
        <w:t>At this point the DWP appears to be saying that it no longer believes the issue to be a problem.</w:t>
      </w:r>
    </w:p>
    <w:p w14:paraId="56CB4053" w14:textId="77777777" w:rsidR="00240D86" w:rsidRDefault="00240D86" w:rsidP="00240D86">
      <w:pPr>
        <w:pStyle w:val="ListParagraph"/>
        <w:spacing w:after="0" w:line="240" w:lineRule="auto"/>
        <w:ind w:left="340"/>
        <w:rPr>
          <w:rFonts w:ascii="Arial" w:eastAsia="Times New Roman" w:hAnsi="Arial" w:cs="Arial"/>
          <w:color w:val="303335"/>
          <w:sz w:val="24"/>
          <w:szCs w:val="24"/>
          <w:shd w:val="clear" w:color="auto" w:fill="FFFFFF"/>
        </w:rPr>
      </w:pPr>
    </w:p>
    <w:p w14:paraId="4E6F881E" w14:textId="1BC52A27" w:rsidR="00240D86" w:rsidRDefault="00C21BCB" w:rsidP="00C21BCB">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82</w:t>
      </w:r>
      <w:r>
        <w:rPr>
          <w:rFonts w:ascii="Arial" w:eastAsia="Times New Roman" w:hAnsi="Arial" w:cs="Arial"/>
          <w:sz w:val="24"/>
          <w:szCs w:val="24"/>
        </w:rPr>
        <w:t>, in March 2017, fully backdated cases are still happening and arrears are high – in excess of £17,000 in the case quoted.</w:t>
      </w:r>
    </w:p>
    <w:p w14:paraId="00A2FD36" w14:textId="77777777" w:rsidR="00ED6647" w:rsidRDefault="00ED6647" w:rsidP="00ED6647">
      <w:pPr>
        <w:spacing w:after="0" w:line="240" w:lineRule="auto"/>
        <w:rPr>
          <w:rFonts w:ascii="Arial" w:eastAsia="Times New Roman" w:hAnsi="Arial" w:cs="Arial"/>
          <w:sz w:val="24"/>
          <w:szCs w:val="24"/>
        </w:rPr>
      </w:pPr>
    </w:p>
    <w:p w14:paraId="5C497553" w14:textId="10FF7CA0" w:rsidR="00ED6647" w:rsidRDefault="00ED6647" w:rsidP="00ED6647">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93</w:t>
      </w:r>
      <w:r>
        <w:rPr>
          <w:rFonts w:ascii="Arial" w:eastAsia="Times New Roman" w:hAnsi="Arial" w:cs="Arial"/>
          <w:sz w:val="24"/>
          <w:szCs w:val="24"/>
        </w:rPr>
        <w:t xml:space="preserve"> NAWRA has written a letter</w:t>
      </w:r>
      <w:r>
        <w:rPr>
          <w:rStyle w:val="FootnoteReference"/>
          <w:rFonts w:ascii="Arial" w:eastAsia="Times New Roman" w:hAnsi="Arial" w:cs="Arial"/>
          <w:sz w:val="24"/>
          <w:szCs w:val="24"/>
        </w:rPr>
        <w:footnoteReference w:id="5"/>
      </w:r>
      <w:r>
        <w:rPr>
          <w:rFonts w:ascii="Arial" w:eastAsia="Times New Roman" w:hAnsi="Arial" w:cs="Arial"/>
          <w:sz w:val="24"/>
          <w:szCs w:val="24"/>
        </w:rPr>
        <w:t xml:space="preserve"> </w:t>
      </w:r>
      <w:r w:rsidR="00566791">
        <w:rPr>
          <w:rFonts w:ascii="Arial" w:eastAsia="Times New Roman" w:hAnsi="Arial" w:cs="Arial"/>
          <w:sz w:val="24"/>
          <w:szCs w:val="24"/>
        </w:rPr>
        <w:t xml:space="preserve">to the then Secretary of State Damian Green </w:t>
      </w:r>
      <w:r w:rsidR="00B17995">
        <w:rPr>
          <w:rFonts w:ascii="Arial" w:eastAsia="Times New Roman" w:hAnsi="Arial" w:cs="Arial"/>
          <w:sz w:val="24"/>
          <w:szCs w:val="24"/>
        </w:rPr>
        <w:t xml:space="preserve">(dated 31 March 2017) </w:t>
      </w:r>
      <w:r>
        <w:rPr>
          <w:rFonts w:ascii="Arial" w:eastAsia="Times New Roman" w:hAnsi="Arial" w:cs="Arial"/>
          <w:sz w:val="24"/>
          <w:szCs w:val="24"/>
        </w:rPr>
        <w:t>making reference to the discussion thread and requesting a trawl to identify all affected cases.</w:t>
      </w:r>
    </w:p>
    <w:p w14:paraId="07A8737B" w14:textId="77777777" w:rsidR="00B17995" w:rsidRPr="00B17995" w:rsidRDefault="00B17995" w:rsidP="00B17995">
      <w:pPr>
        <w:spacing w:after="0" w:line="240" w:lineRule="auto"/>
        <w:rPr>
          <w:rFonts w:ascii="Arial" w:eastAsia="Times New Roman" w:hAnsi="Arial" w:cs="Arial"/>
          <w:sz w:val="24"/>
          <w:szCs w:val="24"/>
        </w:rPr>
      </w:pPr>
    </w:p>
    <w:p w14:paraId="2B5AF965" w14:textId="2C7E2AB5" w:rsidR="00B17995" w:rsidRDefault="00B17995" w:rsidP="00ED6647">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posts 99 and 102</w:t>
      </w:r>
      <w:r>
        <w:rPr>
          <w:rFonts w:ascii="Arial" w:eastAsia="Times New Roman" w:hAnsi="Arial" w:cs="Arial"/>
          <w:sz w:val="24"/>
          <w:szCs w:val="24"/>
        </w:rPr>
        <w:t xml:space="preserve">, </w:t>
      </w:r>
      <w:r w:rsidR="00873B18">
        <w:rPr>
          <w:rFonts w:ascii="Arial" w:eastAsia="Times New Roman" w:hAnsi="Arial" w:cs="Arial"/>
          <w:sz w:val="24"/>
          <w:szCs w:val="24"/>
        </w:rPr>
        <w:t xml:space="preserve">in April 2017, </w:t>
      </w:r>
      <w:r>
        <w:rPr>
          <w:rFonts w:ascii="Arial" w:eastAsia="Times New Roman" w:hAnsi="Arial" w:cs="Arial"/>
          <w:sz w:val="24"/>
          <w:szCs w:val="24"/>
        </w:rPr>
        <w:t>Mr Dutton attaches a letter he has written to NHS Business Services Authority and also a report he has sent to MPs.</w:t>
      </w:r>
    </w:p>
    <w:p w14:paraId="6499544F" w14:textId="77777777" w:rsidR="00B17995" w:rsidRPr="00B17995" w:rsidRDefault="00B17995" w:rsidP="00B17995">
      <w:pPr>
        <w:spacing w:after="0" w:line="240" w:lineRule="auto"/>
        <w:rPr>
          <w:rFonts w:ascii="Arial" w:eastAsia="Times New Roman" w:hAnsi="Arial" w:cs="Arial"/>
          <w:sz w:val="24"/>
          <w:szCs w:val="24"/>
        </w:rPr>
      </w:pPr>
    </w:p>
    <w:p w14:paraId="7477AEDB" w14:textId="59971776" w:rsidR="00B17995" w:rsidRDefault="00B17995" w:rsidP="00ED6647">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107</w:t>
      </w:r>
      <w:r w:rsidR="00873B18">
        <w:rPr>
          <w:rFonts w:ascii="Arial" w:eastAsia="Times New Roman" w:hAnsi="Arial" w:cs="Arial"/>
          <w:sz w:val="24"/>
          <w:szCs w:val="24"/>
        </w:rPr>
        <w:t>, in July 2017 an</w:t>
      </w:r>
      <w:r>
        <w:rPr>
          <w:rFonts w:ascii="Arial" w:eastAsia="Times New Roman" w:hAnsi="Arial" w:cs="Arial"/>
          <w:sz w:val="24"/>
          <w:szCs w:val="24"/>
        </w:rPr>
        <w:t xml:space="preserve"> adviser reports a person on the DWP helpline saying ‘</w:t>
      </w:r>
      <w:r>
        <w:rPr>
          <w:rFonts w:ascii="Arial" w:eastAsia="Times New Roman" w:hAnsi="Arial" w:cs="Arial"/>
          <w:i/>
          <w:sz w:val="24"/>
          <w:szCs w:val="24"/>
        </w:rPr>
        <w:t>they’ve realised they’ve missed a lot of these.’</w:t>
      </w:r>
    </w:p>
    <w:p w14:paraId="0F1C8C3E" w14:textId="77777777" w:rsidR="00B17995" w:rsidRPr="00B17995" w:rsidRDefault="00B17995" w:rsidP="00B17995">
      <w:pPr>
        <w:spacing w:after="0" w:line="240" w:lineRule="auto"/>
        <w:rPr>
          <w:rFonts w:ascii="Arial" w:eastAsia="Times New Roman" w:hAnsi="Arial" w:cs="Arial"/>
          <w:sz w:val="24"/>
          <w:szCs w:val="24"/>
        </w:rPr>
      </w:pPr>
    </w:p>
    <w:p w14:paraId="16CE9AFD" w14:textId="146BE296" w:rsidR="00B17995" w:rsidRDefault="00B17995" w:rsidP="00ED6647">
      <w:pPr>
        <w:pStyle w:val="ListParagraph"/>
        <w:numPr>
          <w:ilvl w:val="0"/>
          <w:numId w:val="27"/>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110</w:t>
      </w:r>
      <w:r>
        <w:rPr>
          <w:rFonts w:ascii="Arial" w:eastAsia="Times New Roman" w:hAnsi="Arial" w:cs="Arial"/>
          <w:sz w:val="24"/>
          <w:szCs w:val="24"/>
        </w:rPr>
        <w:t>, NAWRA has sent a copy of the letter to Damian Green to the new Secretary of State David Gauke and received a reply</w:t>
      </w:r>
      <w:r w:rsidR="00873B18">
        <w:rPr>
          <w:rFonts w:ascii="Arial" w:eastAsia="Times New Roman" w:hAnsi="Arial" w:cs="Arial"/>
          <w:sz w:val="24"/>
          <w:szCs w:val="24"/>
        </w:rPr>
        <w:t xml:space="preserve"> in August 2017</w:t>
      </w:r>
      <w:r>
        <w:rPr>
          <w:rFonts w:ascii="Arial" w:eastAsia="Times New Roman" w:hAnsi="Arial" w:cs="Arial"/>
          <w:sz w:val="24"/>
          <w:szCs w:val="24"/>
        </w:rPr>
        <w:t xml:space="preserve"> from Penny Mordaunt which says she had previously sent a letter on 27 April which wasn’t received but reiterating that – </w:t>
      </w:r>
    </w:p>
    <w:p w14:paraId="5EC0A914" w14:textId="77777777" w:rsidR="00B17995" w:rsidRPr="00B17995" w:rsidRDefault="00B17995" w:rsidP="00B17995">
      <w:pPr>
        <w:spacing w:after="0" w:line="240" w:lineRule="auto"/>
        <w:rPr>
          <w:rFonts w:ascii="Arial" w:eastAsia="Times New Roman" w:hAnsi="Arial" w:cs="Arial"/>
          <w:sz w:val="24"/>
          <w:szCs w:val="24"/>
        </w:rPr>
      </w:pPr>
    </w:p>
    <w:p w14:paraId="24D07930" w14:textId="7CF632E6" w:rsidR="00B17995" w:rsidRDefault="00B17995" w:rsidP="00B17995">
      <w:pPr>
        <w:pStyle w:val="ListParagraph"/>
        <w:spacing w:after="0" w:line="240" w:lineRule="auto"/>
        <w:ind w:left="340"/>
        <w:rPr>
          <w:rFonts w:ascii="Arial" w:eastAsia="Times New Roman" w:hAnsi="Arial" w:cs="Arial"/>
          <w:sz w:val="24"/>
          <w:szCs w:val="24"/>
        </w:rPr>
      </w:pPr>
      <w:r>
        <w:rPr>
          <w:rFonts w:ascii="Arial" w:eastAsia="Times New Roman" w:hAnsi="Arial" w:cs="Arial"/>
          <w:i/>
          <w:sz w:val="24"/>
          <w:szCs w:val="24"/>
        </w:rPr>
        <w:t>‘I can confirm that officials are currently investigating this matter at my request and so I hope you will understand that I cannot provide you with a full reply at this time. However, please accept my assurance that you will receive a substantive response as soon as possible’</w:t>
      </w:r>
    </w:p>
    <w:p w14:paraId="0C0B927A" w14:textId="77777777" w:rsidR="00B17995" w:rsidRDefault="00B17995" w:rsidP="00B17995">
      <w:pPr>
        <w:pStyle w:val="ListParagraph"/>
        <w:spacing w:after="0" w:line="240" w:lineRule="auto"/>
        <w:ind w:left="340"/>
        <w:rPr>
          <w:rFonts w:ascii="Arial" w:eastAsia="Times New Roman" w:hAnsi="Arial" w:cs="Arial"/>
          <w:sz w:val="24"/>
          <w:szCs w:val="24"/>
        </w:rPr>
      </w:pPr>
    </w:p>
    <w:p w14:paraId="32FEFB9B" w14:textId="431D9DD4" w:rsidR="00B17995" w:rsidRDefault="00176083" w:rsidP="002816A5">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125</w:t>
      </w:r>
      <w:r>
        <w:rPr>
          <w:rFonts w:ascii="Arial" w:eastAsia="Times New Roman" w:hAnsi="Arial" w:cs="Arial"/>
          <w:sz w:val="24"/>
          <w:szCs w:val="24"/>
        </w:rPr>
        <w:t>, on 30 October 2017, an adviser is told there’s been an ‘</w:t>
      </w:r>
      <w:r w:rsidRPr="00176083">
        <w:rPr>
          <w:rFonts w:ascii="Arial" w:eastAsia="Times New Roman" w:hAnsi="Arial" w:cs="Arial"/>
          <w:i/>
          <w:sz w:val="24"/>
          <w:szCs w:val="24"/>
        </w:rPr>
        <w:t>amendment to restrict backdating to October 2014.</w:t>
      </w:r>
      <w:r>
        <w:rPr>
          <w:rFonts w:ascii="Arial" w:eastAsia="Times New Roman" w:hAnsi="Arial" w:cs="Arial"/>
          <w:sz w:val="24"/>
          <w:szCs w:val="24"/>
        </w:rPr>
        <w:t xml:space="preserve">’ Yet at </w:t>
      </w:r>
      <w:r w:rsidRPr="008E4C24">
        <w:rPr>
          <w:rFonts w:ascii="Arial" w:eastAsia="Times New Roman" w:hAnsi="Arial" w:cs="Arial"/>
          <w:b/>
          <w:sz w:val="24"/>
          <w:szCs w:val="24"/>
        </w:rPr>
        <w:t>post 144</w:t>
      </w:r>
      <w:r>
        <w:rPr>
          <w:rFonts w:ascii="Arial" w:eastAsia="Times New Roman" w:hAnsi="Arial" w:cs="Arial"/>
          <w:sz w:val="24"/>
          <w:szCs w:val="24"/>
        </w:rPr>
        <w:t xml:space="preserve"> an adviser reports full backdating in November 2017.</w:t>
      </w:r>
    </w:p>
    <w:p w14:paraId="65889088" w14:textId="77777777" w:rsidR="00176083" w:rsidRDefault="00176083" w:rsidP="00176083">
      <w:pPr>
        <w:spacing w:after="0" w:line="240" w:lineRule="auto"/>
        <w:rPr>
          <w:rFonts w:ascii="Arial" w:eastAsia="Times New Roman" w:hAnsi="Arial" w:cs="Arial"/>
          <w:sz w:val="24"/>
          <w:szCs w:val="24"/>
        </w:rPr>
      </w:pPr>
    </w:p>
    <w:p w14:paraId="02ADF7B5" w14:textId="1C770490" w:rsidR="00176083" w:rsidRDefault="00176083" w:rsidP="00176083">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 xml:space="preserve"> At </w:t>
      </w:r>
      <w:r w:rsidRPr="008E4C24">
        <w:rPr>
          <w:rFonts w:ascii="Arial" w:eastAsia="Times New Roman" w:hAnsi="Arial" w:cs="Arial"/>
          <w:b/>
          <w:sz w:val="24"/>
          <w:szCs w:val="24"/>
        </w:rPr>
        <w:t>post 145</w:t>
      </w:r>
      <w:r>
        <w:rPr>
          <w:rFonts w:ascii="Arial" w:eastAsia="Times New Roman" w:hAnsi="Arial" w:cs="Arial"/>
          <w:sz w:val="24"/>
          <w:szCs w:val="24"/>
        </w:rPr>
        <w:t xml:space="preserve"> a BBC report is highlighted which states that the DWP only became aware of the issue in December 2016. Somewhat</w:t>
      </w:r>
      <w:r w:rsidRPr="00176083">
        <w:rPr>
          <w:rFonts w:ascii="Arial" w:eastAsia="Times New Roman" w:hAnsi="Arial" w:cs="Arial"/>
          <w:sz w:val="24"/>
          <w:szCs w:val="24"/>
        </w:rPr>
        <w:t xml:space="preserve"> unsurprisingly, this is followed by disbelief and astonishment from advisers contributing to the thread! </w:t>
      </w:r>
    </w:p>
    <w:p w14:paraId="42D68BCD" w14:textId="77777777" w:rsidR="00176083" w:rsidRPr="00176083" w:rsidRDefault="00176083" w:rsidP="00176083">
      <w:pPr>
        <w:spacing w:after="0" w:line="240" w:lineRule="auto"/>
        <w:rPr>
          <w:rFonts w:ascii="Arial" w:eastAsia="Times New Roman" w:hAnsi="Arial" w:cs="Arial"/>
          <w:sz w:val="24"/>
          <w:szCs w:val="24"/>
        </w:rPr>
      </w:pPr>
    </w:p>
    <w:p w14:paraId="1CF6CB00" w14:textId="6805C86D" w:rsidR="00176083" w:rsidRDefault="00176083" w:rsidP="00176083">
      <w:pPr>
        <w:pStyle w:val="ListParagraph"/>
        <w:numPr>
          <w:ilvl w:val="0"/>
          <w:numId w:val="30"/>
        </w:numPr>
        <w:spacing w:after="0" w:line="240" w:lineRule="auto"/>
        <w:rPr>
          <w:rFonts w:ascii="Arial" w:eastAsia="Times New Roman" w:hAnsi="Arial" w:cs="Arial"/>
          <w:sz w:val="24"/>
          <w:szCs w:val="24"/>
        </w:rPr>
      </w:pPr>
      <w:r>
        <w:rPr>
          <w:rFonts w:ascii="Arial" w:eastAsia="Times New Roman" w:hAnsi="Arial" w:cs="Arial"/>
          <w:sz w:val="24"/>
          <w:szCs w:val="24"/>
        </w:rPr>
        <w:t xml:space="preserve">The thread continues for a further 10 pages but this </w:t>
      </w:r>
      <w:r w:rsidR="00C25591">
        <w:rPr>
          <w:rFonts w:ascii="Arial" w:eastAsia="Times New Roman" w:hAnsi="Arial" w:cs="Arial"/>
          <w:sz w:val="24"/>
          <w:szCs w:val="24"/>
        </w:rPr>
        <w:t xml:space="preserve">is </w:t>
      </w:r>
      <w:r>
        <w:rPr>
          <w:rFonts w:ascii="Arial" w:eastAsia="Times New Roman" w:hAnsi="Arial" w:cs="Arial"/>
          <w:sz w:val="24"/>
          <w:szCs w:val="24"/>
        </w:rPr>
        <w:t>mostly after David Gauke’s announcement</w:t>
      </w:r>
      <w:r>
        <w:rPr>
          <w:rStyle w:val="FootnoteReference"/>
          <w:rFonts w:ascii="Arial" w:eastAsia="Times New Roman" w:hAnsi="Arial" w:cs="Arial"/>
          <w:sz w:val="24"/>
          <w:szCs w:val="24"/>
        </w:rPr>
        <w:footnoteReference w:id="6"/>
      </w:r>
      <w:r>
        <w:rPr>
          <w:rFonts w:ascii="Arial" w:eastAsia="Times New Roman" w:hAnsi="Arial" w:cs="Arial"/>
          <w:sz w:val="24"/>
          <w:szCs w:val="24"/>
        </w:rPr>
        <w:t xml:space="preserve"> on 14 December 2017. In this he states – </w:t>
      </w:r>
    </w:p>
    <w:p w14:paraId="03FC935E" w14:textId="77777777" w:rsidR="00176083" w:rsidRPr="00176083" w:rsidRDefault="00176083" w:rsidP="00176083">
      <w:pPr>
        <w:spacing w:after="0" w:line="240" w:lineRule="auto"/>
        <w:rPr>
          <w:rFonts w:ascii="Arial" w:eastAsia="Times New Roman" w:hAnsi="Arial" w:cs="Arial"/>
          <w:sz w:val="24"/>
          <w:szCs w:val="24"/>
        </w:rPr>
      </w:pPr>
    </w:p>
    <w:p w14:paraId="60888B24" w14:textId="76C80016" w:rsidR="00176083" w:rsidRDefault="00176083" w:rsidP="00176083">
      <w:pPr>
        <w:spacing w:after="0" w:line="240" w:lineRule="auto"/>
        <w:ind w:left="340"/>
        <w:rPr>
          <w:rFonts w:ascii="Arial" w:eastAsia="Times New Roman" w:hAnsi="Arial" w:cs="Arial"/>
          <w:color w:val="000000"/>
          <w:sz w:val="24"/>
          <w:szCs w:val="24"/>
          <w:shd w:val="clear" w:color="auto" w:fill="FFFFFF"/>
        </w:rPr>
      </w:pPr>
      <w:r>
        <w:rPr>
          <w:rFonts w:ascii="Arial" w:eastAsia="Times New Roman" w:hAnsi="Arial" w:cs="Arial"/>
          <w:i/>
          <w:color w:val="000000"/>
          <w:sz w:val="24"/>
          <w:szCs w:val="24"/>
          <w:shd w:val="clear" w:color="auto" w:fill="FFFFFF"/>
        </w:rPr>
        <w:t>‘</w:t>
      </w:r>
      <w:r w:rsidRPr="00176083">
        <w:rPr>
          <w:rFonts w:ascii="Arial" w:eastAsia="Times New Roman" w:hAnsi="Arial" w:cs="Arial"/>
          <w:i/>
          <w:color w:val="000000"/>
          <w:sz w:val="24"/>
          <w:szCs w:val="24"/>
          <w:shd w:val="clear" w:color="auto" w:fill="FFFFFF"/>
        </w:rPr>
        <w:t>In 2013, the Department was made aware of individual cases which were transferred in error to contributory ESA, rather than to income-related ESA, and therefore which may have had an unidentified entitlement to additional premia, such as the enhanced disability premium. These premia are only payable to those on income-related benefits. From 2014 additional guidance was put in place to ensure all claims transitioning from that point forward were more fully assessed for both contributory and income-related benefits, and therefore the relevant premia paid.</w:t>
      </w:r>
      <w:r>
        <w:rPr>
          <w:rFonts w:ascii="Arial" w:eastAsia="Times New Roman" w:hAnsi="Arial" w:cs="Arial"/>
          <w:i/>
          <w:color w:val="000000"/>
          <w:sz w:val="24"/>
          <w:szCs w:val="24"/>
          <w:shd w:val="clear" w:color="auto" w:fill="FFFFFF"/>
        </w:rPr>
        <w:t>’</w:t>
      </w:r>
    </w:p>
    <w:p w14:paraId="71B8320B" w14:textId="77777777" w:rsidR="00176083" w:rsidRDefault="00176083" w:rsidP="00176083">
      <w:pPr>
        <w:spacing w:after="0" w:line="240" w:lineRule="auto"/>
        <w:ind w:left="340"/>
        <w:rPr>
          <w:rFonts w:ascii="Arial" w:eastAsia="Times New Roman" w:hAnsi="Arial" w:cs="Arial"/>
          <w:color w:val="000000"/>
          <w:sz w:val="24"/>
          <w:szCs w:val="24"/>
          <w:shd w:val="clear" w:color="auto" w:fill="FFFFFF"/>
        </w:rPr>
      </w:pPr>
    </w:p>
    <w:p w14:paraId="4264B91F" w14:textId="58F4BC96" w:rsidR="00176083" w:rsidRPr="00176083" w:rsidRDefault="00176083" w:rsidP="00176083">
      <w:pPr>
        <w:spacing w:after="0" w:line="240" w:lineRule="auto"/>
        <w:ind w:left="340"/>
        <w:rPr>
          <w:rFonts w:ascii="Arial" w:eastAsia="Times New Roman" w:hAnsi="Arial" w:cs="Arial"/>
          <w:sz w:val="24"/>
          <w:szCs w:val="24"/>
        </w:rPr>
      </w:pPr>
      <w:r>
        <w:rPr>
          <w:rFonts w:ascii="Arial" w:eastAsia="Times New Roman" w:hAnsi="Arial" w:cs="Arial"/>
          <w:color w:val="000000"/>
          <w:sz w:val="24"/>
          <w:szCs w:val="24"/>
          <w:shd w:val="clear" w:color="auto" w:fill="FFFFFF"/>
        </w:rPr>
        <w:t xml:space="preserve">This acknowledges that the DWP knew in 2013 that the failure to assess for irESA was an error. </w:t>
      </w:r>
    </w:p>
    <w:p w14:paraId="18792B6F" w14:textId="77777777" w:rsidR="00176083" w:rsidRPr="00176083" w:rsidRDefault="00176083" w:rsidP="00176083">
      <w:pPr>
        <w:pStyle w:val="ListParagraph"/>
        <w:spacing w:after="0" w:line="240" w:lineRule="auto"/>
        <w:ind w:left="340"/>
        <w:rPr>
          <w:rFonts w:ascii="Arial" w:eastAsia="Times New Roman" w:hAnsi="Arial" w:cs="Arial"/>
          <w:sz w:val="24"/>
          <w:szCs w:val="24"/>
        </w:rPr>
      </w:pPr>
    </w:p>
    <w:p w14:paraId="200C92FB" w14:textId="77777777" w:rsidR="00E35D4C" w:rsidRDefault="00E35D4C" w:rsidP="00E35D4C">
      <w:pPr>
        <w:spacing w:after="0" w:line="240" w:lineRule="auto"/>
        <w:rPr>
          <w:rFonts w:ascii="Arial" w:eastAsia="Times New Roman" w:hAnsi="Arial" w:cs="Arial"/>
          <w:b/>
          <w:sz w:val="36"/>
          <w:szCs w:val="36"/>
        </w:rPr>
      </w:pPr>
    </w:p>
    <w:p w14:paraId="1D6F5D49" w14:textId="00E80000" w:rsidR="00E35D4C" w:rsidRPr="00E35D4C" w:rsidRDefault="00E35D4C" w:rsidP="00E35D4C">
      <w:pPr>
        <w:spacing w:after="0" w:line="240" w:lineRule="auto"/>
        <w:rPr>
          <w:rFonts w:ascii="Arial" w:eastAsia="Times New Roman" w:hAnsi="Arial" w:cs="Arial"/>
          <w:b/>
          <w:sz w:val="36"/>
          <w:szCs w:val="36"/>
        </w:rPr>
      </w:pPr>
      <w:r>
        <w:rPr>
          <w:rFonts w:ascii="Arial" w:eastAsia="Times New Roman" w:hAnsi="Arial" w:cs="Arial"/>
          <w:b/>
          <w:sz w:val="36"/>
          <w:szCs w:val="36"/>
        </w:rPr>
        <w:t>Conclusion and recommendations</w:t>
      </w:r>
    </w:p>
    <w:p w14:paraId="7A369BA4" w14:textId="77777777" w:rsidR="00705441" w:rsidRDefault="00705441">
      <w:pPr>
        <w:spacing w:after="0" w:line="240" w:lineRule="auto"/>
        <w:rPr>
          <w:rFonts w:ascii="Arial" w:hAnsi="Arial" w:cs="Arial"/>
          <w:sz w:val="24"/>
          <w:szCs w:val="24"/>
        </w:rPr>
      </w:pPr>
    </w:p>
    <w:p w14:paraId="1E94C382" w14:textId="478AF0C2" w:rsidR="00176083" w:rsidRPr="00612BDB" w:rsidRDefault="00705441" w:rsidP="00176083">
      <w:pPr>
        <w:pStyle w:val="ListParagraph"/>
        <w:numPr>
          <w:ilvl w:val="0"/>
          <w:numId w:val="31"/>
        </w:numPr>
        <w:spacing w:after="0" w:line="240" w:lineRule="auto"/>
        <w:rPr>
          <w:rFonts w:ascii="Arial" w:hAnsi="Arial" w:cs="Arial"/>
          <w:sz w:val="24"/>
          <w:szCs w:val="24"/>
        </w:rPr>
      </w:pPr>
      <w:r w:rsidRPr="00612BDB">
        <w:rPr>
          <w:rFonts w:ascii="Arial" w:hAnsi="Arial" w:cs="Arial"/>
          <w:sz w:val="24"/>
          <w:szCs w:val="24"/>
        </w:rPr>
        <w:t xml:space="preserve">There is clear evidence that, well before the decision in </w:t>
      </w:r>
      <w:r w:rsidRPr="00C25591">
        <w:rPr>
          <w:rFonts w:ascii="Arial" w:hAnsi="Arial" w:cs="Arial"/>
          <w:i/>
          <w:sz w:val="24"/>
          <w:szCs w:val="24"/>
        </w:rPr>
        <w:t>LH v SSWP</w:t>
      </w:r>
      <w:r w:rsidRPr="00612BDB">
        <w:rPr>
          <w:rFonts w:ascii="Arial" w:hAnsi="Arial" w:cs="Arial"/>
          <w:sz w:val="24"/>
          <w:szCs w:val="24"/>
        </w:rPr>
        <w:t>, the DWP knew that failing to assess for irESA at the point of conversion was an official error, and that in cases where it failed to happen full backdating should be given. This is evident in the internal DWP guidance, the guidance at Chapter 45 of the Decision Maker’s Guide, and in the DWP’s actions in fully backdating in the examples provided in the thread. Indeed cases were still being fully backdated as late as November 2017.</w:t>
      </w:r>
      <w:r w:rsidR="00F97696">
        <w:rPr>
          <w:rFonts w:ascii="Arial" w:hAnsi="Arial" w:cs="Arial"/>
          <w:sz w:val="24"/>
          <w:szCs w:val="24"/>
        </w:rPr>
        <w:t xml:space="preserve"> In the report from the National Audit Office</w:t>
      </w:r>
      <w:r w:rsidR="00F97696">
        <w:rPr>
          <w:rStyle w:val="FootnoteReference"/>
          <w:rFonts w:ascii="Arial" w:hAnsi="Arial" w:cs="Arial"/>
          <w:sz w:val="24"/>
          <w:szCs w:val="24"/>
        </w:rPr>
        <w:footnoteReference w:id="7"/>
      </w:r>
      <w:r w:rsidR="00F97696">
        <w:rPr>
          <w:rFonts w:ascii="Arial" w:hAnsi="Arial" w:cs="Arial"/>
          <w:sz w:val="24"/>
          <w:szCs w:val="24"/>
        </w:rPr>
        <w:t xml:space="preserve"> it is also confirmed that new guidance was issued in June 2014 when the DWP was aware of the error.</w:t>
      </w:r>
    </w:p>
    <w:p w14:paraId="515F690D" w14:textId="77777777" w:rsidR="00176083" w:rsidRPr="00612BDB" w:rsidRDefault="00176083" w:rsidP="00176083">
      <w:pPr>
        <w:spacing w:after="0" w:line="240" w:lineRule="auto"/>
        <w:rPr>
          <w:rFonts w:ascii="Arial" w:hAnsi="Arial" w:cs="Arial"/>
          <w:sz w:val="24"/>
          <w:szCs w:val="24"/>
        </w:rPr>
      </w:pPr>
    </w:p>
    <w:p w14:paraId="3D051412" w14:textId="37362F28" w:rsidR="00234022" w:rsidRPr="00DF380F" w:rsidRDefault="00176083" w:rsidP="00DF380F">
      <w:pPr>
        <w:pStyle w:val="ListParagraph"/>
        <w:numPr>
          <w:ilvl w:val="0"/>
          <w:numId w:val="31"/>
        </w:numPr>
        <w:spacing w:line="240" w:lineRule="auto"/>
        <w:rPr>
          <w:rFonts w:ascii="Arial" w:eastAsia="Times New Roman" w:hAnsi="Arial" w:cs="Arial"/>
          <w:sz w:val="24"/>
          <w:szCs w:val="24"/>
        </w:rPr>
      </w:pPr>
      <w:r w:rsidRPr="00612BDB">
        <w:rPr>
          <w:rFonts w:ascii="Arial" w:hAnsi="Arial" w:cs="Arial"/>
          <w:sz w:val="24"/>
          <w:szCs w:val="24"/>
        </w:rPr>
        <w:t xml:space="preserve">The then Secretary of State David Gauke </w:t>
      </w:r>
      <w:r w:rsidR="000C0D11" w:rsidRPr="00612BDB">
        <w:rPr>
          <w:rFonts w:ascii="Arial" w:hAnsi="Arial" w:cs="Arial"/>
          <w:sz w:val="24"/>
          <w:szCs w:val="24"/>
        </w:rPr>
        <w:t>says in his December 2017 statement, ‘</w:t>
      </w:r>
      <w:r w:rsidR="000C0D11" w:rsidRPr="00612BDB">
        <w:rPr>
          <w:rFonts w:ascii="Arial" w:eastAsia="Times New Roman" w:hAnsi="Arial" w:cs="Arial"/>
          <w:i/>
          <w:color w:val="000000"/>
          <w:sz w:val="24"/>
          <w:szCs w:val="24"/>
          <w:shd w:val="clear" w:color="auto" w:fill="FFFFFF"/>
        </w:rPr>
        <w:t>Under Section 27 of the Social Security Act 1998</w:t>
      </w:r>
      <w:r w:rsidR="000C0D11" w:rsidRPr="00612BDB">
        <w:rPr>
          <w:rStyle w:val="FootnoteReference"/>
          <w:rFonts w:ascii="Arial" w:eastAsia="Times New Roman" w:hAnsi="Arial" w:cs="Arial"/>
          <w:i/>
          <w:color w:val="000000"/>
          <w:sz w:val="24"/>
          <w:szCs w:val="24"/>
          <w:shd w:val="clear" w:color="auto" w:fill="FFFFFF"/>
        </w:rPr>
        <w:footnoteReference w:id="8"/>
      </w:r>
      <w:r w:rsidR="000C0D11" w:rsidRPr="00612BDB">
        <w:rPr>
          <w:rFonts w:ascii="Arial" w:eastAsia="Times New Roman" w:hAnsi="Arial" w:cs="Arial"/>
          <w:i/>
          <w:color w:val="000000"/>
          <w:sz w:val="24"/>
          <w:szCs w:val="24"/>
          <w:shd w:val="clear" w:color="auto" w:fill="FFFFFF"/>
        </w:rPr>
        <w:t xml:space="preserve">, when a tribunal establishes the meaning of a legislative provision, payments of arrears which pre-date the tribunal ruling are barred.’ </w:t>
      </w:r>
      <w:r w:rsidR="000C0D11" w:rsidRPr="00612BDB">
        <w:rPr>
          <w:rFonts w:ascii="Arial" w:eastAsia="Times New Roman" w:hAnsi="Arial" w:cs="Arial"/>
          <w:color w:val="000000"/>
          <w:sz w:val="24"/>
          <w:szCs w:val="24"/>
          <w:shd w:val="clear" w:color="auto" w:fill="FFFFFF"/>
        </w:rPr>
        <w:t xml:space="preserve">However, he </w:t>
      </w:r>
      <w:r w:rsidRPr="00612BDB">
        <w:rPr>
          <w:rFonts w:ascii="Arial" w:hAnsi="Arial" w:cs="Arial"/>
          <w:sz w:val="24"/>
          <w:szCs w:val="24"/>
        </w:rPr>
        <w:t xml:space="preserve">acknowledged in his statement that the DWP knew it was an error in 2013. They did not need to wait for the decision in </w:t>
      </w:r>
      <w:r w:rsidRPr="00C25591">
        <w:rPr>
          <w:rFonts w:ascii="Arial" w:hAnsi="Arial" w:cs="Arial"/>
          <w:i/>
          <w:sz w:val="24"/>
          <w:szCs w:val="24"/>
        </w:rPr>
        <w:t>LH v SSWP</w:t>
      </w:r>
      <w:r w:rsidRPr="00612BDB">
        <w:rPr>
          <w:rFonts w:ascii="Arial" w:hAnsi="Arial" w:cs="Arial"/>
          <w:sz w:val="24"/>
          <w:szCs w:val="24"/>
        </w:rPr>
        <w:t xml:space="preserve"> to </w:t>
      </w:r>
      <w:r w:rsidR="00B644AE" w:rsidRPr="00612BDB">
        <w:rPr>
          <w:rFonts w:ascii="Arial" w:hAnsi="Arial" w:cs="Arial"/>
          <w:sz w:val="24"/>
          <w:szCs w:val="24"/>
        </w:rPr>
        <w:t xml:space="preserve">become aware of it. </w:t>
      </w:r>
      <w:r w:rsidR="000C0D11" w:rsidRPr="00C25591">
        <w:rPr>
          <w:rFonts w:ascii="Arial" w:hAnsi="Arial" w:cs="Arial"/>
          <w:i/>
          <w:sz w:val="24"/>
          <w:szCs w:val="24"/>
        </w:rPr>
        <w:t>LH</w:t>
      </w:r>
      <w:r w:rsidR="000C0D11" w:rsidRPr="00612BDB">
        <w:rPr>
          <w:rFonts w:ascii="Arial" w:hAnsi="Arial" w:cs="Arial"/>
          <w:sz w:val="24"/>
          <w:szCs w:val="24"/>
        </w:rPr>
        <w:t xml:space="preserve"> did not establish the meaning of the legislative provision – the DWP already knew it and had done since at least as far back as 2013</w:t>
      </w:r>
      <w:r w:rsidR="00612BDB">
        <w:rPr>
          <w:rFonts w:ascii="Arial" w:hAnsi="Arial" w:cs="Arial"/>
          <w:sz w:val="24"/>
          <w:szCs w:val="24"/>
        </w:rPr>
        <w:t>.</w:t>
      </w:r>
      <w:r w:rsidR="00234022">
        <w:rPr>
          <w:rFonts w:ascii="Arial" w:hAnsi="Arial" w:cs="Arial"/>
          <w:sz w:val="24"/>
          <w:szCs w:val="24"/>
        </w:rPr>
        <w:br/>
      </w:r>
    </w:p>
    <w:p w14:paraId="21022422" w14:textId="77777777" w:rsidR="00CF45C1" w:rsidRPr="00CF45C1" w:rsidRDefault="00915551" w:rsidP="00160E14">
      <w:pPr>
        <w:pStyle w:val="ListParagraph"/>
        <w:numPr>
          <w:ilvl w:val="0"/>
          <w:numId w:val="46"/>
        </w:numPr>
        <w:spacing w:line="240" w:lineRule="auto"/>
        <w:rPr>
          <w:rFonts w:ascii="Arial" w:eastAsia="Times New Roman" w:hAnsi="Arial" w:cs="Arial"/>
          <w:sz w:val="24"/>
          <w:szCs w:val="24"/>
        </w:rPr>
      </w:pPr>
      <w:r>
        <w:rPr>
          <w:rFonts w:ascii="Arial" w:hAnsi="Arial" w:cs="Arial"/>
          <w:sz w:val="24"/>
          <w:szCs w:val="24"/>
        </w:rPr>
        <w:t>The DWP’s decision to limit backdating was only made in late 2017, presumably to minimise their losses. NAWRA strongly condemns this decision</w:t>
      </w:r>
      <w:r w:rsidR="00AF739C">
        <w:rPr>
          <w:rFonts w:ascii="Arial" w:hAnsi="Arial" w:cs="Arial"/>
          <w:sz w:val="24"/>
          <w:szCs w:val="24"/>
        </w:rPr>
        <w:t>,</w:t>
      </w:r>
      <w:r>
        <w:rPr>
          <w:rFonts w:ascii="Arial" w:hAnsi="Arial" w:cs="Arial"/>
          <w:sz w:val="24"/>
          <w:szCs w:val="24"/>
        </w:rPr>
        <w:t xml:space="preserve"> which seeks to take money that rightly belongs to people who are severely disabled. By the DWP’s own estimates, approximately 75,000 people have been underpaid for up to seven years</w:t>
      </w:r>
      <w:r w:rsidR="00AF739C">
        <w:rPr>
          <w:rFonts w:ascii="Arial" w:hAnsi="Arial" w:cs="Arial"/>
          <w:sz w:val="24"/>
          <w:szCs w:val="24"/>
        </w:rPr>
        <w:t>,</w:t>
      </w:r>
      <w:r>
        <w:rPr>
          <w:rFonts w:ascii="Arial" w:hAnsi="Arial" w:cs="Arial"/>
          <w:sz w:val="24"/>
          <w:szCs w:val="24"/>
        </w:rPr>
        <w:t xml:space="preserve"> by amounts as high as £20,000</w:t>
      </w:r>
      <w:r w:rsidR="00AF739C">
        <w:rPr>
          <w:rFonts w:ascii="Arial" w:hAnsi="Arial" w:cs="Arial"/>
          <w:sz w:val="24"/>
          <w:szCs w:val="24"/>
        </w:rPr>
        <w:t>.</w:t>
      </w:r>
      <w:r w:rsidR="00571B6C">
        <w:rPr>
          <w:rFonts w:ascii="Arial" w:hAnsi="Arial" w:cs="Arial"/>
          <w:sz w:val="24"/>
          <w:szCs w:val="24"/>
        </w:rPr>
        <w:t xml:space="preserve"> The substantial shortfall in income over such an extended period is likely to have resulted in extreme hardship in many, if not all, </w:t>
      </w:r>
      <w:r w:rsidR="00DB597E">
        <w:rPr>
          <w:rFonts w:ascii="Arial" w:hAnsi="Arial" w:cs="Arial"/>
          <w:sz w:val="24"/>
          <w:szCs w:val="24"/>
        </w:rPr>
        <w:t>cases.</w:t>
      </w:r>
      <w:r w:rsidR="00571B6C">
        <w:rPr>
          <w:rFonts w:ascii="Arial" w:hAnsi="Arial" w:cs="Arial"/>
          <w:sz w:val="24"/>
          <w:szCs w:val="24"/>
        </w:rPr>
        <w:t xml:space="preserve"> </w:t>
      </w:r>
    </w:p>
    <w:p w14:paraId="49864661" w14:textId="6A30E30C" w:rsidR="00612BDB" w:rsidRPr="00CF45C1" w:rsidRDefault="00612BDB" w:rsidP="00CF45C1">
      <w:pPr>
        <w:spacing w:line="240" w:lineRule="auto"/>
        <w:rPr>
          <w:rFonts w:ascii="Arial" w:eastAsia="Times New Roman" w:hAnsi="Arial" w:cs="Arial"/>
          <w:sz w:val="24"/>
          <w:szCs w:val="24"/>
        </w:rPr>
      </w:pPr>
      <w:r w:rsidRPr="00CF45C1">
        <w:rPr>
          <w:rFonts w:ascii="Arial" w:hAnsi="Arial" w:cs="Arial"/>
          <w:sz w:val="24"/>
          <w:szCs w:val="24"/>
        </w:rPr>
        <w:br/>
      </w:r>
    </w:p>
    <w:p w14:paraId="0B06E236" w14:textId="45C609A6" w:rsidR="00612BDB" w:rsidRPr="00612BDB" w:rsidRDefault="00612BDB" w:rsidP="00160E14">
      <w:pPr>
        <w:pStyle w:val="ListParagraph"/>
        <w:numPr>
          <w:ilvl w:val="0"/>
          <w:numId w:val="46"/>
        </w:numPr>
        <w:spacing w:line="240" w:lineRule="auto"/>
        <w:rPr>
          <w:rFonts w:ascii="Arial" w:eastAsia="Times New Roman" w:hAnsi="Arial" w:cs="Arial"/>
          <w:sz w:val="24"/>
          <w:szCs w:val="24"/>
        </w:rPr>
      </w:pPr>
      <w:r>
        <w:rPr>
          <w:rFonts w:ascii="Arial" w:eastAsia="Times New Roman" w:hAnsi="Arial" w:cs="Arial"/>
          <w:sz w:val="24"/>
          <w:szCs w:val="24"/>
        </w:rPr>
        <w:t xml:space="preserve"> Following the above conclusions NAWRA </w:t>
      </w:r>
      <w:r w:rsidR="000F3F7B">
        <w:rPr>
          <w:rFonts w:ascii="Arial" w:eastAsia="Times New Roman" w:hAnsi="Arial" w:cs="Arial"/>
          <w:sz w:val="24"/>
          <w:szCs w:val="24"/>
        </w:rPr>
        <w:t>calls on</w:t>
      </w:r>
      <w:r w:rsidR="00AF739C">
        <w:rPr>
          <w:rFonts w:ascii="Arial" w:eastAsia="Times New Roman" w:hAnsi="Arial" w:cs="Arial"/>
          <w:sz w:val="24"/>
          <w:szCs w:val="24"/>
        </w:rPr>
        <w:t xml:space="preserve"> the DWP</w:t>
      </w:r>
      <w:r>
        <w:rPr>
          <w:rFonts w:ascii="Arial" w:eastAsia="Times New Roman" w:hAnsi="Arial" w:cs="Arial"/>
          <w:sz w:val="24"/>
          <w:szCs w:val="24"/>
        </w:rPr>
        <w:t xml:space="preserve"> </w:t>
      </w:r>
      <w:r w:rsidR="000F3F7B">
        <w:rPr>
          <w:rFonts w:ascii="Arial" w:eastAsia="Times New Roman" w:hAnsi="Arial" w:cs="Arial"/>
          <w:sz w:val="24"/>
          <w:szCs w:val="24"/>
        </w:rPr>
        <w:t xml:space="preserve">to </w:t>
      </w:r>
      <w:r>
        <w:rPr>
          <w:rFonts w:ascii="Arial" w:eastAsia="Times New Roman" w:hAnsi="Arial" w:cs="Arial"/>
          <w:sz w:val="24"/>
          <w:szCs w:val="24"/>
        </w:rPr>
        <w:t xml:space="preserve">– </w:t>
      </w:r>
      <w:r>
        <w:rPr>
          <w:rFonts w:ascii="Arial" w:eastAsia="Times New Roman" w:hAnsi="Arial" w:cs="Arial"/>
          <w:sz w:val="24"/>
          <w:szCs w:val="24"/>
        </w:rPr>
        <w:br/>
      </w:r>
    </w:p>
    <w:p w14:paraId="54FE1FAA" w14:textId="6AE7A1CC" w:rsidR="00AF739C" w:rsidRDefault="00915551" w:rsidP="00AF739C">
      <w:pPr>
        <w:pStyle w:val="ListParagraph"/>
        <w:numPr>
          <w:ilvl w:val="0"/>
          <w:numId w:val="36"/>
        </w:numPr>
        <w:spacing w:line="240" w:lineRule="auto"/>
        <w:rPr>
          <w:rFonts w:ascii="Arial" w:eastAsia="Times New Roman" w:hAnsi="Arial" w:cs="Arial"/>
          <w:sz w:val="24"/>
          <w:szCs w:val="24"/>
        </w:rPr>
      </w:pPr>
      <w:r>
        <w:rPr>
          <w:rFonts w:ascii="Arial" w:eastAsia="Times New Roman" w:hAnsi="Arial" w:cs="Arial"/>
          <w:sz w:val="24"/>
          <w:szCs w:val="24"/>
        </w:rPr>
        <w:t>revise all affected migration decisions</w:t>
      </w:r>
      <w:r w:rsidR="00806E49">
        <w:rPr>
          <w:rFonts w:ascii="Arial" w:eastAsia="Times New Roman" w:hAnsi="Arial" w:cs="Arial"/>
          <w:sz w:val="24"/>
          <w:szCs w:val="24"/>
        </w:rPr>
        <w:t xml:space="preserve"> on the basis of official error</w:t>
      </w:r>
      <w:r w:rsidR="00806E49">
        <w:rPr>
          <w:rStyle w:val="FootnoteReference"/>
          <w:rFonts w:ascii="Arial" w:eastAsia="Times New Roman" w:hAnsi="Arial" w:cs="Arial"/>
          <w:sz w:val="24"/>
          <w:szCs w:val="24"/>
        </w:rPr>
        <w:footnoteReference w:id="9"/>
      </w:r>
      <w:r w:rsidR="00806E49">
        <w:rPr>
          <w:rFonts w:ascii="Arial" w:eastAsia="Times New Roman" w:hAnsi="Arial" w:cs="Arial"/>
          <w:sz w:val="24"/>
          <w:szCs w:val="24"/>
        </w:rPr>
        <w:t xml:space="preserve"> </w:t>
      </w:r>
      <w:r>
        <w:rPr>
          <w:rFonts w:ascii="Arial" w:eastAsia="Times New Roman" w:hAnsi="Arial" w:cs="Arial"/>
          <w:sz w:val="24"/>
          <w:szCs w:val="24"/>
        </w:rPr>
        <w:t>and backdate to the date of migration</w:t>
      </w:r>
      <w:r w:rsidR="00806E49">
        <w:rPr>
          <w:rStyle w:val="FootnoteReference"/>
          <w:rFonts w:ascii="Arial" w:eastAsia="Times New Roman" w:hAnsi="Arial" w:cs="Arial"/>
          <w:sz w:val="24"/>
          <w:szCs w:val="24"/>
        </w:rPr>
        <w:footnoteReference w:id="10"/>
      </w:r>
      <w:r w:rsidR="00AF739C">
        <w:rPr>
          <w:rFonts w:ascii="Arial" w:eastAsia="Times New Roman" w:hAnsi="Arial" w:cs="Arial"/>
          <w:sz w:val="24"/>
          <w:szCs w:val="24"/>
        </w:rPr>
        <w:t xml:space="preserve">; </w:t>
      </w:r>
    </w:p>
    <w:p w14:paraId="08ACB026" w14:textId="3A5456F4" w:rsidR="00AF739C" w:rsidRPr="00AF739C" w:rsidRDefault="00AF739C" w:rsidP="00AF739C">
      <w:pPr>
        <w:pStyle w:val="ListParagraph"/>
        <w:numPr>
          <w:ilvl w:val="0"/>
          <w:numId w:val="36"/>
        </w:numPr>
        <w:spacing w:line="240" w:lineRule="auto"/>
        <w:rPr>
          <w:rFonts w:ascii="Arial" w:eastAsia="Times New Roman" w:hAnsi="Arial" w:cs="Arial"/>
          <w:sz w:val="24"/>
          <w:szCs w:val="24"/>
        </w:rPr>
      </w:pPr>
      <w:r w:rsidRPr="00AF739C">
        <w:rPr>
          <w:rFonts w:ascii="Arial" w:eastAsia="Times New Roman" w:hAnsi="Arial" w:cs="Arial"/>
          <w:sz w:val="24"/>
          <w:szCs w:val="24"/>
        </w:rPr>
        <w:t>confirm that any arrears of £5,000 or more will be disregarded as capital for the du</w:t>
      </w:r>
      <w:r w:rsidR="0036021C">
        <w:rPr>
          <w:rFonts w:ascii="Arial" w:eastAsia="Times New Roman" w:hAnsi="Arial" w:cs="Arial"/>
          <w:sz w:val="24"/>
          <w:szCs w:val="24"/>
        </w:rPr>
        <w:t>ration of that award of benefit</w:t>
      </w:r>
      <w:r>
        <w:rPr>
          <w:rStyle w:val="FootnoteReference"/>
          <w:rFonts w:ascii="Arial" w:eastAsia="Times New Roman" w:hAnsi="Arial" w:cs="Arial"/>
          <w:sz w:val="24"/>
          <w:szCs w:val="24"/>
        </w:rPr>
        <w:footnoteReference w:id="11"/>
      </w:r>
      <w:r w:rsidR="00571B6C">
        <w:rPr>
          <w:rFonts w:ascii="Arial" w:eastAsia="Times New Roman" w:hAnsi="Arial" w:cs="Arial"/>
          <w:sz w:val="24"/>
          <w:szCs w:val="24"/>
        </w:rPr>
        <w:t>; and</w:t>
      </w:r>
    </w:p>
    <w:p w14:paraId="21780A15" w14:textId="2804D8EE" w:rsidR="00AF739C" w:rsidRDefault="00571B6C" w:rsidP="00612BDB">
      <w:pPr>
        <w:pStyle w:val="ListParagraph"/>
        <w:numPr>
          <w:ilvl w:val="0"/>
          <w:numId w:val="36"/>
        </w:numPr>
        <w:spacing w:line="240" w:lineRule="auto"/>
        <w:rPr>
          <w:rFonts w:ascii="Arial" w:eastAsia="Times New Roman" w:hAnsi="Arial" w:cs="Arial"/>
          <w:sz w:val="24"/>
          <w:szCs w:val="24"/>
        </w:rPr>
      </w:pPr>
      <w:r>
        <w:rPr>
          <w:rFonts w:ascii="Arial" w:eastAsia="Times New Roman" w:hAnsi="Arial" w:cs="Arial"/>
          <w:sz w:val="24"/>
          <w:szCs w:val="24"/>
        </w:rPr>
        <w:t>consider favourably claims for compensation under the Financial Redress scheme</w:t>
      </w:r>
      <w:r>
        <w:rPr>
          <w:rStyle w:val="FootnoteReference"/>
          <w:rFonts w:ascii="Arial" w:eastAsia="Times New Roman" w:hAnsi="Arial" w:cs="Arial"/>
          <w:sz w:val="24"/>
          <w:szCs w:val="24"/>
        </w:rPr>
        <w:footnoteReference w:id="12"/>
      </w:r>
      <w:r>
        <w:rPr>
          <w:rFonts w:ascii="Arial" w:eastAsia="Times New Roman" w:hAnsi="Arial" w:cs="Arial"/>
          <w:sz w:val="24"/>
          <w:szCs w:val="24"/>
        </w:rPr>
        <w:t>.</w:t>
      </w:r>
    </w:p>
    <w:p w14:paraId="7CAF8379" w14:textId="33CB0D2F" w:rsidR="00DB597E" w:rsidRPr="00DB597E" w:rsidRDefault="00DB597E" w:rsidP="00DB597E">
      <w:pPr>
        <w:spacing w:line="240" w:lineRule="auto"/>
        <w:ind w:left="360"/>
        <w:rPr>
          <w:rFonts w:ascii="Arial" w:eastAsia="Times New Roman" w:hAnsi="Arial" w:cs="Arial"/>
          <w:sz w:val="24"/>
          <w:szCs w:val="24"/>
        </w:rPr>
      </w:pPr>
      <w:r>
        <w:rPr>
          <w:rFonts w:ascii="Arial" w:eastAsia="Times New Roman" w:hAnsi="Arial" w:cs="Arial"/>
          <w:sz w:val="24"/>
          <w:szCs w:val="24"/>
        </w:rPr>
        <w:t>NAWRA has already made these points to Secretary of State Esther McVey in a letter dated 9 February 2017</w:t>
      </w:r>
      <w:r>
        <w:rPr>
          <w:rStyle w:val="FootnoteReference"/>
          <w:rFonts w:ascii="Arial" w:eastAsia="Times New Roman" w:hAnsi="Arial" w:cs="Arial"/>
          <w:sz w:val="24"/>
          <w:szCs w:val="24"/>
        </w:rPr>
        <w:footnoteReference w:id="13"/>
      </w:r>
      <w:r>
        <w:rPr>
          <w:rFonts w:ascii="Arial" w:eastAsia="Times New Roman" w:hAnsi="Arial" w:cs="Arial"/>
          <w:sz w:val="24"/>
          <w:szCs w:val="24"/>
        </w:rPr>
        <w:t xml:space="preserve"> but she has not responded.</w:t>
      </w:r>
    </w:p>
    <w:p w14:paraId="5E5E086E" w14:textId="77777777" w:rsidR="00AF739C" w:rsidRPr="00612BDB" w:rsidRDefault="00AF739C" w:rsidP="00571B6C">
      <w:pPr>
        <w:pStyle w:val="ListParagraph"/>
        <w:spacing w:line="240" w:lineRule="auto"/>
        <w:rPr>
          <w:rFonts w:ascii="Arial" w:eastAsia="Times New Roman" w:hAnsi="Arial" w:cs="Arial"/>
          <w:sz w:val="24"/>
          <w:szCs w:val="24"/>
        </w:rPr>
      </w:pPr>
    </w:p>
    <w:p w14:paraId="7D935A03" w14:textId="67393041" w:rsidR="00013306" w:rsidRPr="0007381E" w:rsidRDefault="00013306" w:rsidP="0007381E">
      <w:pPr>
        <w:spacing w:after="0" w:line="240" w:lineRule="auto"/>
        <w:rPr>
          <w:rFonts w:ascii="Arial" w:hAnsi="Arial" w:cs="Arial"/>
          <w:sz w:val="24"/>
          <w:szCs w:val="24"/>
        </w:rPr>
      </w:pPr>
      <w:r w:rsidRPr="0007381E">
        <w:rPr>
          <w:rFonts w:ascii="Arial" w:hAnsi="Arial" w:cs="Arial"/>
          <w:sz w:val="24"/>
          <w:szCs w:val="24"/>
        </w:rPr>
        <w:br w:type="page"/>
      </w:r>
    </w:p>
    <w:p w14:paraId="4E1E8EBE" w14:textId="77777777" w:rsidR="00013306" w:rsidRDefault="00013306" w:rsidP="00013306">
      <w:pPr>
        <w:pStyle w:val="Header"/>
      </w:pPr>
      <w:r>
        <w:rPr>
          <w:noProof/>
          <w:lang w:val="en-US" w:eastAsia="en-US"/>
        </w:rPr>
        <w:drawing>
          <wp:anchor distT="0" distB="0" distL="114300" distR="114300" simplePos="0" relativeHeight="251662336" behindDoc="1" locked="0" layoutInCell="1" allowOverlap="1" wp14:anchorId="55EC9BC7" wp14:editId="7120FD87">
            <wp:simplePos x="0" y="0"/>
            <wp:positionH relativeFrom="page">
              <wp:posOffset>508635</wp:posOffset>
            </wp:positionH>
            <wp:positionV relativeFrom="page">
              <wp:posOffset>231140</wp:posOffset>
            </wp:positionV>
            <wp:extent cx="2857500" cy="1143000"/>
            <wp:effectExtent l="0" t="0" r="0" b="0"/>
            <wp:wrapNone/>
            <wp:docPr id="11" name="Picture 11" descr="DCC-logo-megenta-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CC-logo-megenta-tra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6F1EF" w14:textId="77777777" w:rsidR="00013306" w:rsidRDefault="00013306" w:rsidP="00013306">
      <w:pPr>
        <w:pStyle w:val="CompanyName"/>
        <w:framePr w:w="0" w:hRule="auto" w:hSpace="0" w:vSpace="0" w:wrap="auto" w:vAnchor="margin" w:hAnchor="text" w:yAlign="inline"/>
        <w:spacing w:line="240" w:lineRule="auto"/>
        <w:jc w:val="left"/>
        <w:rPr>
          <w:rFonts w:ascii="Arial" w:hAnsi="Arial"/>
          <w:sz w:val="24"/>
        </w:rPr>
      </w:pPr>
      <w:r>
        <w:rPr>
          <w:noProof/>
          <w:sz w:val="24"/>
          <w:lang w:val="en-US" w:eastAsia="en-US"/>
        </w:rPr>
        <mc:AlternateContent>
          <mc:Choice Requires="wps">
            <w:drawing>
              <wp:anchor distT="0" distB="0" distL="114300" distR="114300" simplePos="0" relativeHeight="251661312" behindDoc="0" locked="1" layoutInCell="1" allowOverlap="1" wp14:anchorId="19AB14E3" wp14:editId="534D1138">
                <wp:simplePos x="0" y="0"/>
                <wp:positionH relativeFrom="column">
                  <wp:posOffset>4217670</wp:posOffset>
                </wp:positionH>
                <wp:positionV relativeFrom="page">
                  <wp:posOffset>2686050</wp:posOffset>
                </wp:positionV>
                <wp:extent cx="2011680" cy="795655"/>
                <wp:effectExtent l="0"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95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8BC30" w14:textId="77777777" w:rsidR="00806E49" w:rsidRDefault="00806E49" w:rsidP="00013306">
                            <w:pPr>
                              <w:rPr>
                                <w:sz w:val="24"/>
                                <w:szCs w:val="24"/>
                              </w:rPr>
                            </w:pPr>
                            <w:r>
                              <w:rPr>
                                <w:sz w:val="24"/>
                                <w:szCs w:val="24"/>
                              </w:rPr>
                              <w:t>Date:   3/7/2013</w:t>
                            </w:r>
                          </w:p>
                          <w:p w14:paraId="00A823A8" w14:textId="77777777" w:rsidR="00806E49" w:rsidRDefault="00806E49" w:rsidP="00013306">
                            <w:pPr>
                              <w:rPr>
                                <w:sz w:val="24"/>
                                <w:szCs w:val="24"/>
                              </w:rPr>
                            </w:pPr>
                          </w:p>
                          <w:p w14:paraId="4D6C8992" w14:textId="77777777" w:rsidR="00806E49" w:rsidRPr="000C183B" w:rsidRDefault="00806E49" w:rsidP="00013306">
                            <w:pPr>
                              <w:rPr>
                                <w:sz w:val="24"/>
                                <w:szCs w:val="24"/>
                              </w:rPr>
                            </w:pPr>
                            <w:r>
                              <w:rPr>
                                <w:sz w:val="24"/>
                                <w:szCs w:val="24"/>
                              </w:rPr>
                              <w:t>PIN:   AD</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332.1pt;margin-top:211.5pt;width:158.4pt;height:6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" stroked="f">
                <v:textbox inset="0,,0">
                  <w:txbxContent>
                    <w:p w14:paraId="0888BC30" w14:textId="77777777" w:rsidR="00806E49" w:rsidRDefault="00806E49" w:rsidP="00013306">
                      <w:pPr>
                        <w:rPr>
                          <w:sz w:val="24"/>
                          <w:szCs w:val="24"/>
                        </w:rPr>
                      </w:pPr>
                      <w:r>
                        <w:rPr>
                          <w:sz w:val="24"/>
                          <w:szCs w:val="24"/>
                        </w:rPr>
                        <w:t>Date:   3/7/2013</w:t>
                      </w:r>
                    </w:p>
                    <w:p w14:paraId="00A823A8" w14:textId="77777777" w:rsidR="00806E49" w:rsidRDefault="00806E49" w:rsidP="00013306">
                      <w:pPr>
                        <w:rPr>
                          <w:sz w:val="24"/>
                          <w:szCs w:val="24"/>
                        </w:rPr>
                      </w:pPr>
                    </w:p>
                    <w:p w14:paraId="4D6C8992" w14:textId="77777777" w:rsidR="00806E49" w:rsidRPr="000C183B" w:rsidRDefault="00806E49" w:rsidP="00013306">
                      <w:pPr>
                        <w:rPr>
                          <w:sz w:val="24"/>
                          <w:szCs w:val="24"/>
                        </w:rPr>
                      </w:pPr>
                      <w:r>
                        <w:rPr>
                          <w:sz w:val="24"/>
                          <w:szCs w:val="24"/>
                        </w:rPr>
                        <w:t>PIN:   AD</w:t>
                      </w:r>
                    </w:p>
                  </w:txbxContent>
                </v:textbox>
                <w10:wrap anchory="page"/>
                <w10:anchorlock/>
              </v:shape>
            </w:pict>
          </mc:Fallback>
        </mc:AlternateContent>
      </w:r>
    </w:p>
    <w:p w14:paraId="738C084E" w14:textId="77777777" w:rsidR="00013306" w:rsidRDefault="00013306" w:rsidP="00013306">
      <w:pPr>
        <w:pStyle w:val="ReturnAddress"/>
        <w:framePr w:w="3684" w:h="1979" w:wrap="around" w:hAnchor="page" w:x="7815" w:y="744"/>
        <w:rPr>
          <w:rFonts w:ascii="Helvetica" w:hAnsi="Helvetica"/>
          <w:b/>
          <w:color w:val="800080"/>
          <w:sz w:val="20"/>
        </w:rPr>
      </w:pPr>
      <w:r>
        <w:rPr>
          <w:rFonts w:ascii="Helvetica" w:hAnsi="Helvetica"/>
          <w:b/>
          <w:color w:val="800080"/>
          <w:sz w:val="20"/>
        </w:rPr>
        <w:t xml:space="preserve">Welfare Benefits Information </w:t>
      </w:r>
    </w:p>
    <w:p w14:paraId="5E279829" w14:textId="77777777" w:rsidR="00013306" w:rsidRDefault="00013306" w:rsidP="00013306">
      <w:pPr>
        <w:pStyle w:val="ReturnAddress"/>
        <w:framePr w:w="3684" w:h="1979" w:wrap="around" w:hAnchor="page" w:x="7815" w:y="744"/>
        <w:rPr>
          <w:rFonts w:ascii="Helvetica" w:hAnsi="Helvetica"/>
          <w:b/>
          <w:color w:val="800080"/>
          <w:sz w:val="20"/>
        </w:rPr>
      </w:pPr>
      <w:r>
        <w:rPr>
          <w:rFonts w:ascii="Helvetica" w:hAnsi="Helvetica"/>
          <w:b/>
          <w:color w:val="800080"/>
          <w:sz w:val="20"/>
        </w:rPr>
        <w:t>and Advice Team</w:t>
      </w:r>
    </w:p>
    <w:p w14:paraId="3005589A" w14:textId="77777777" w:rsidR="00013306" w:rsidRPr="005038A6" w:rsidRDefault="00013306" w:rsidP="00013306">
      <w:pPr>
        <w:pStyle w:val="ReturnAddress"/>
        <w:framePr w:w="3684" w:h="1979" w:wrap="around" w:hAnchor="page" w:x="7815" w:y="744"/>
        <w:rPr>
          <w:rFonts w:ascii="Helvetica" w:hAnsi="Helvetica"/>
          <w:color w:val="800080"/>
          <w:sz w:val="20"/>
        </w:rPr>
      </w:pPr>
      <w:r w:rsidRPr="005038A6">
        <w:rPr>
          <w:rFonts w:ascii="Helvetica" w:hAnsi="Helvetica"/>
          <w:color w:val="800080"/>
          <w:sz w:val="20"/>
        </w:rPr>
        <w:t>Adult Care</w:t>
      </w:r>
    </w:p>
    <w:p w14:paraId="5824E183" w14:textId="77777777" w:rsidR="00013306" w:rsidRDefault="00013306" w:rsidP="00013306">
      <w:pPr>
        <w:pStyle w:val="ReturnAddress"/>
        <w:framePr w:w="3684" w:h="1979" w:wrap="around" w:hAnchor="page" w:x="7815" w:y="744"/>
        <w:rPr>
          <w:rFonts w:ascii="Helvetica" w:hAnsi="Helvetica"/>
          <w:color w:val="800080"/>
          <w:sz w:val="20"/>
        </w:rPr>
      </w:pPr>
      <w:r>
        <w:rPr>
          <w:rFonts w:ascii="Helvetica" w:hAnsi="Helvetica"/>
          <w:color w:val="800080"/>
          <w:sz w:val="20"/>
        </w:rPr>
        <w:t>Derbyshire County Council</w:t>
      </w:r>
    </w:p>
    <w:p w14:paraId="19EC4911" w14:textId="77777777" w:rsidR="00013306" w:rsidRDefault="00013306" w:rsidP="00013306">
      <w:pPr>
        <w:pStyle w:val="ReturnAddress"/>
        <w:framePr w:w="3684" w:h="1979" w:wrap="around" w:hAnchor="page" w:x="7815" w:y="744"/>
        <w:rPr>
          <w:rFonts w:ascii="Helvetica" w:hAnsi="Helvetica"/>
          <w:color w:val="800080"/>
          <w:sz w:val="20"/>
        </w:rPr>
      </w:pPr>
      <w:r>
        <w:rPr>
          <w:rFonts w:ascii="Helvetica" w:hAnsi="Helvetica"/>
          <w:color w:val="800080"/>
          <w:sz w:val="20"/>
        </w:rPr>
        <w:t>Cemetery Lane</w:t>
      </w:r>
    </w:p>
    <w:p w14:paraId="18BBC8ED" w14:textId="77777777" w:rsidR="00013306" w:rsidRDefault="00013306" w:rsidP="00013306">
      <w:pPr>
        <w:pStyle w:val="ReturnAddress"/>
        <w:framePr w:w="3684" w:h="1979" w:wrap="around" w:hAnchor="page" w:x="7815" w:y="744"/>
        <w:rPr>
          <w:rFonts w:ascii="Helvetica" w:hAnsi="Helvetica"/>
          <w:color w:val="800080"/>
          <w:sz w:val="20"/>
        </w:rPr>
      </w:pPr>
      <w:r>
        <w:rPr>
          <w:rFonts w:ascii="Helvetica" w:hAnsi="Helvetica"/>
          <w:color w:val="800080"/>
          <w:sz w:val="20"/>
        </w:rPr>
        <w:t>Ripley</w:t>
      </w:r>
    </w:p>
    <w:p w14:paraId="7717E4F7" w14:textId="77777777" w:rsidR="00013306" w:rsidRDefault="00013306" w:rsidP="00013306">
      <w:pPr>
        <w:pStyle w:val="ReturnAddress"/>
        <w:framePr w:w="3684" w:h="1979" w:wrap="around" w:hAnchor="page" w:x="7815" w:y="744"/>
        <w:rPr>
          <w:rFonts w:ascii="Helvetica" w:hAnsi="Helvetica"/>
          <w:color w:val="800080"/>
          <w:sz w:val="20"/>
        </w:rPr>
      </w:pPr>
      <w:r>
        <w:rPr>
          <w:rFonts w:ascii="Helvetica" w:hAnsi="Helvetica"/>
          <w:color w:val="800080"/>
          <w:sz w:val="20"/>
        </w:rPr>
        <w:t>Derbyshire DE5 3HY</w:t>
      </w:r>
    </w:p>
    <w:p w14:paraId="6AB7D2C3" w14:textId="77777777" w:rsidR="00013306" w:rsidRDefault="00013306" w:rsidP="00013306">
      <w:pPr>
        <w:pStyle w:val="ReturnAddress"/>
        <w:framePr w:w="3684" w:h="1979" w:wrap="around" w:hAnchor="page" w:x="7815" w:y="744"/>
        <w:rPr>
          <w:rFonts w:ascii="Helvetica" w:hAnsi="Helvetica"/>
          <w:color w:val="800080"/>
          <w:sz w:val="20"/>
        </w:rPr>
      </w:pPr>
    </w:p>
    <w:p w14:paraId="291D6692" w14:textId="77777777" w:rsidR="00013306" w:rsidRPr="00B050F9" w:rsidRDefault="00013306" w:rsidP="00013306">
      <w:pPr>
        <w:pStyle w:val="ReturnAddress"/>
        <w:framePr w:w="3684" w:h="1979" w:wrap="around" w:hAnchor="page" w:x="7815" w:y="744"/>
        <w:rPr>
          <w:rFonts w:cs="Arial"/>
          <w:sz w:val="26"/>
          <w:szCs w:val="26"/>
        </w:rPr>
      </w:pPr>
      <w:r w:rsidRPr="00B050F9">
        <w:rPr>
          <w:rFonts w:cs="Arial"/>
          <w:sz w:val="26"/>
          <w:szCs w:val="26"/>
        </w:rPr>
        <w:t>CONTROLLED</w:t>
      </w:r>
    </w:p>
    <w:p w14:paraId="67F4BFCF" w14:textId="77777777" w:rsidR="00013306" w:rsidRDefault="00013306" w:rsidP="00013306">
      <w:pPr>
        <w:framePr w:w="3684" w:h="1979" w:hSpace="187" w:vSpace="187" w:wrap="around" w:vAnchor="page" w:hAnchor="page" w:x="7815" w:y="744" w:anchorLock="1"/>
        <w:rPr>
          <w:rFonts w:ascii="Helvetica" w:hAnsi="Helvetica"/>
          <w:color w:val="800080"/>
        </w:rPr>
      </w:pPr>
    </w:p>
    <w:p w14:paraId="336F610F" w14:textId="77777777" w:rsidR="00013306" w:rsidRDefault="00013306" w:rsidP="00013306">
      <w:pPr>
        <w:framePr w:w="3684" w:h="1979" w:hSpace="187" w:vSpace="187" w:wrap="around" w:vAnchor="page" w:hAnchor="page" w:x="7815" w:y="744" w:anchorLock="1"/>
        <w:rPr>
          <w:rFonts w:ascii="Helvetica" w:hAnsi="Helvetica"/>
          <w:color w:val="800080"/>
          <w:sz w:val="18"/>
        </w:rPr>
      </w:pPr>
      <w:r>
        <w:rPr>
          <w:rFonts w:ascii="Helvetica" w:hAnsi="Helvetica"/>
          <w:color w:val="800080"/>
          <w:sz w:val="18"/>
        </w:rPr>
        <w:t>Telephone: (01629) 531531</w:t>
      </w:r>
    </w:p>
    <w:p w14:paraId="52EB55C3" w14:textId="77777777" w:rsidR="00013306" w:rsidRDefault="00013306" w:rsidP="00013306">
      <w:pPr>
        <w:framePr w:w="3684" w:h="1979" w:hSpace="187" w:vSpace="187" w:wrap="around" w:vAnchor="page" w:hAnchor="page" w:x="7815" w:y="744" w:anchorLock="1"/>
        <w:rPr>
          <w:rFonts w:ascii="Helvetica" w:hAnsi="Helvetica"/>
          <w:color w:val="800080"/>
          <w:sz w:val="18"/>
        </w:rPr>
      </w:pPr>
      <w:r>
        <w:rPr>
          <w:rFonts w:ascii="Helvetica" w:hAnsi="Helvetica"/>
          <w:color w:val="800080"/>
          <w:sz w:val="18"/>
        </w:rPr>
        <w:t>Facsimile:   (01773) 728262</w:t>
      </w:r>
    </w:p>
    <w:p w14:paraId="29460776" w14:textId="77777777" w:rsidR="00013306" w:rsidRDefault="00013306" w:rsidP="00013306">
      <w:pPr>
        <w:pStyle w:val="ReturnAddress"/>
        <w:framePr w:w="3684" w:h="1979" w:wrap="around" w:hAnchor="page" w:x="7815" w:y="744"/>
        <w:rPr>
          <w:rFonts w:ascii="Helvetica" w:hAnsi="Helvetica"/>
          <w:color w:val="800080"/>
          <w:sz w:val="24"/>
        </w:rPr>
      </w:pPr>
      <w:r>
        <w:rPr>
          <w:rFonts w:ascii="Helvetica" w:hAnsi="Helvetica"/>
          <w:color w:val="800080"/>
          <w:sz w:val="18"/>
        </w:rPr>
        <w:t xml:space="preserve">Email: </w:t>
      </w:r>
      <w:r>
        <w:rPr>
          <w:rFonts w:ascii="Helvetica" w:hAnsi="Helvetica"/>
          <w:color w:val="0000FF"/>
          <w:sz w:val="18"/>
        </w:rPr>
        <w:t>welfarebenefits@derbyshire.gov.uk</w:t>
      </w:r>
    </w:p>
    <w:p w14:paraId="7E9909BD" w14:textId="77777777" w:rsidR="00013306" w:rsidRDefault="00013306" w:rsidP="00013306">
      <w:pPr>
        <w:pStyle w:val="BodyText"/>
        <w:spacing w:after="0" w:line="240" w:lineRule="auto"/>
        <w:ind w:left="425"/>
        <w:jc w:val="left"/>
        <w:rPr>
          <w:sz w:val="24"/>
        </w:rPr>
      </w:pPr>
    </w:p>
    <w:p w14:paraId="501789A0" w14:textId="77777777" w:rsidR="00013306" w:rsidRDefault="00013306" w:rsidP="00013306">
      <w:pPr>
        <w:pStyle w:val="BodyText"/>
        <w:spacing w:after="0" w:line="240" w:lineRule="auto"/>
        <w:ind w:left="425"/>
        <w:jc w:val="left"/>
        <w:rPr>
          <w:sz w:val="24"/>
        </w:rPr>
      </w:pPr>
    </w:p>
    <w:p w14:paraId="3207A39B" w14:textId="77777777" w:rsidR="00013306" w:rsidRDefault="00013306" w:rsidP="00013306">
      <w:pPr>
        <w:pStyle w:val="Closing"/>
        <w:spacing w:after="0" w:line="240" w:lineRule="auto"/>
        <w:ind w:left="426"/>
        <w:jc w:val="left"/>
        <w:rPr>
          <w:sz w:val="24"/>
        </w:rPr>
      </w:pPr>
    </w:p>
    <w:p w14:paraId="6A1C3B09" w14:textId="77777777" w:rsidR="00013306" w:rsidRDefault="00013306" w:rsidP="00013306">
      <w:pPr>
        <w:pStyle w:val="Closing"/>
        <w:spacing w:after="0" w:line="240" w:lineRule="auto"/>
        <w:ind w:left="426"/>
        <w:jc w:val="left"/>
        <w:rPr>
          <w:sz w:val="24"/>
        </w:rPr>
      </w:pPr>
    </w:p>
    <w:p w14:paraId="5811BE48" w14:textId="77777777" w:rsidR="00013306" w:rsidRDefault="00013306" w:rsidP="00013306"/>
    <w:p w14:paraId="3BBDAD38" w14:textId="77777777" w:rsidR="00013306" w:rsidRDefault="00013306" w:rsidP="00013306"/>
    <w:p w14:paraId="76AB07BF" w14:textId="77777777" w:rsidR="00013306" w:rsidRDefault="00013306" w:rsidP="00013306">
      <w:r>
        <w:rPr>
          <w:noProof/>
          <w:lang w:val="en-US"/>
        </w:rPr>
        <mc:AlternateContent>
          <mc:Choice Requires="wps">
            <w:drawing>
              <wp:anchor distT="0" distB="0" distL="114300" distR="114300" simplePos="0" relativeHeight="251663360" behindDoc="0" locked="0" layoutInCell="1" allowOverlap="1" wp14:anchorId="4E9A797E" wp14:editId="1733C30C">
                <wp:simplePos x="0" y="0"/>
                <wp:positionH relativeFrom="column">
                  <wp:posOffset>-97155</wp:posOffset>
                </wp:positionH>
                <wp:positionV relativeFrom="paragraph">
                  <wp:posOffset>132715</wp:posOffset>
                </wp:positionV>
                <wp:extent cx="3212465" cy="1371600"/>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E67FF4" w14:textId="77777777" w:rsidR="00806E49" w:rsidRDefault="00806E49" w:rsidP="00013306">
                            <w:pPr>
                              <w:rPr>
                                <w:sz w:val="24"/>
                                <w:szCs w:val="24"/>
                              </w:rPr>
                            </w:pPr>
                            <w:r>
                              <w:rPr>
                                <w:sz w:val="24"/>
                                <w:szCs w:val="24"/>
                              </w:rPr>
                              <w:t>Department for Work and Pensions</w:t>
                            </w:r>
                          </w:p>
                          <w:p w14:paraId="40C797BF" w14:textId="77777777" w:rsidR="00806E49" w:rsidRDefault="00806E49" w:rsidP="00013306">
                            <w:pPr>
                              <w:rPr>
                                <w:sz w:val="24"/>
                                <w:szCs w:val="24"/>
                              </w:rPr>
                            </w:pPr>
                            <w:r>
                              <w:rPr>
                                <w:sz w:val="24"/>
                                <w:szCs w:val="24"/>
                              </w:rPr>
                              <w:t>Caxton House</w:t>
                            </w:r>
                          </w:p>
                          <w:p w14:paraId="441547A3" w14:textId="77777777" w:rsidR="00806E49" w:rsidRDefault="00806E49" w:rsidP="00013306">
                            <w:pPr>
                              <w:rPr>
                                <w:sz w:val="24"/>
                                <w:szCs w:val="24"/>
                              </w:rPr>
                            </w:pPr>
                            <w:r>
                              <w:rPr>
                                <w:sz w:val="24"/>
                                <w:szCs w:val="24"/>
                              </w:rPr>
                              <w:t>Tothill Street</w:t>
                            </w:r>
                          </w:p>
                          <w:p w14:paraId="7F6A1C77" w14:textId="77777777" w:rsidR="00806E49" w:rsidRPr="00340F17" w:rsidRDefault="00806E49" w:rsidP="00013306">
                            <w:pPr>
                              <w:rPr>
                                <w:sz w:val="24"/>
                                <w:szCs w:val="24"/>
                              </w:rPr>
                            </w:pPr>
                            <w:r>
                              <w:rPr>
                                <w:sz w:val="24"/>
                                <w:szCs w:val="24"/>
                              </w:rPr>
                              <w:t>London SW1H 9NA</w:t>
                            </w:r>
                          </w:p>
                          <w:p w14:paraId="24D302C9" w14:textId="77777777" w:rsidR="00806E49" w:rsidRDefault="00806E49" w:rsidP="00013306">
                            <w:pPr>
                              <w:tabs>
                                <w:tab w:val="left" w:pos="0"/>
                              </w:tabs>
                              <w:rPr>
                                <w:sz w:val="24"/>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7.6pt;margin-top:10.45pt;width:252.95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" stroked="f">
                <v:textbox inset="0">
                  <w:txbxContent>
                    <w:p w14:paraId="57E67FF4" w14:textId="77777777" w:rsidR="00806E49" w:rsidRDefault="00806E49" w:rsidP="00013306">
                      <w:pPr>
                        <w:rPr>
                          <w:sz w:val="24"/>
                          <w:szCs w:val="24"/>
                        </w:rPr>
                      </w:pPr>
                      <w:r>
                        <w:rPr>
                          <w:sz w:val="24"/>
                          <w:szCs w:val="24"/>
                        </w:rPr>
                        <w:t>Department for Work and Pensions</w:t>
                      </w:r>
                    </w:p>
                    <w:p w14:paraId="40C797BF" w14:textId="77777777" w:rsidR="00806E49" w:rsidRDefault="00806E49" w:rsidP="00013306">
                      <w:pPr>
                        <w:rPr>
                          <w:sz w:val="24"/>
                          <w:szCs w:val="24"/>
                        </w:rPr>
                      </w:pPr>
                      <w:r>
                        <w:rPr>
                          <w:sz w:val="24"/>
                          <w:szCs w:val="24"/>
                        </w:rPr>
                        <w:t>Caxton House</w:t>
                      </w:r>
                    </w:p>
                    <w:p w14:paraId="441547A3" w14:textId="77777777" w:rsidR="00806E49" w:rsidRDefault="00806E49" w:rsidP="00013306">
                      <w:pPr>
                        <w:rPr>
                          <w:sz w:val="24"/>
                          <w:szCs w:val="24"/>
                        </w:rPr>
                      </w:pPr>
                      <w:r>
                        <w:rPr>
                          <w:sz w:val="24"/>
                          <w:szCs w:val="24"/>
                        </w:rPr>
                        <w:t>Tothill Street</w:t>
                      </w:r>
                    </w:p>
                    <w:p w14:paraId="7F6A1C77" w14:textId="77777777" w:rsidR="00806E49" w:rsidRPr="00340F17" w:rsidRDefault="00806E49" w:rsidP="00013306">
                      <w:pPr>
                        <w:rPr>
                          <w:sz w:val="24"/>
                          <w:szCs w:val="24"/>
                        </w:rPr>
                      </w:pPr>
                      <w:r>
                        <w:rPr>
                          <w:sz w:val="24"/>
                          <w:szCs w:val="24"/>
                        </w:rPr>
                        <w:t>London SW1H 9NA</w:t>
                      </w:r>
                    </w:p>
                    <w:p w14:paraId="24D302C9" w14:textId="77777777" w:rsidR="00806E49" w:rsidRDefault="00806E49" w:rsidP="00013306">
                      <w:pPr>
                        <w:tabs>
                          <w:tab w:val="left" w:pos="0"/>
                        </w:tabs>
                        <w:rPr>
                          <w:sz w:val="24"/>
                        </w:rPr>
                      </w:pPr>
                    </w:p>
                  </w:txbxContent>
                </v:textbox>
                <w10:wrap type="square"/>
              </v:shape>
            </w:pict>
          </mc:Fallback>
        </mc:AlternateContent>
      </w:r>
    </w:p>
    <w:p w14:paraId="1A551264" w14:textId="77777777" w:rsidR="00013306" w:rsidRDefault="00013306" w:rsidP="00013306"/>
    <w:p w14:paraId="4CAF3E4D" w14:textId="77777777" w:rsidR="00013306" w:rsidRDefault="00013306" w:rsidP="00013306"/>
    <w:p w14:paraId="79F5DDBF" w14:textId="77777777" w:rsidR="00013306" w:rsidRDefault="00013306" w:rsidP="00013306"/>
    <w:p w14:paraId="6848D70E" w14:textId="77777777" w:rsidR="00013306" w:rsidRDefault="00013306" w:rsidP="00013306"/>
    <w:p w14:paraId="40F28AF1" w14:textId="77777777" w:rsidR="00013306" w:rsidRDefault="00013306" w:rsidP="00013306">
      <w:pPr>
        <w:rPr>
          <w:sz w:val="24"/>
        </w:rPr>
      </w:pPr>
    </w:p>
    <w:p w14:paraId="33C9139F" w14:textId="77777777" w:rsidR="00013306" w:rsidRDefault="00013306" w:rsidP="00013306">
      <w:pPr>
        <w:rPr>
          <w:sz w:val="24"/>
          <w:szCs w:val="24"/>
        </w:rPr>
      </w:pPr>
      <w:r>
        <w:rPr>
          <w:sz w:val="24"/>
        </w:rPr>
        <w:t xml:space="preserve">Dear </w:t>
      </w:r>
      <w:r>
        <w:rPr>
          <w:sz w:val="24"/>
          <w:szCs w:val="24"/>
        </w:rPr>
        <w:t>Sir/Madam,</w:t>
      </w:r>
    </w:p>
    <w:p w14:paraId="44028CF5" w14:textId="77777777" w:rsidR="00013306" w:rsidRDefault="00013306" w:rsidP="00013306">
      <w:pPr>
        <w:rPr>
          <w:sz w:val="24"/>
          <w:szCs w:val="24"/>
        </w:rPr>
      </w:pPr>
    </w:p>
    <w:p w14:paraId="30E676CF" w14:textId="77777777" w:rsidR="00013306" w:rsidRPr="000B5966" w:rsidRDefault="00013306" w:rsidP="00013306">
      <w:pPr>
        <w:rPr>
          <w:rFonts w:cs="Arial"/>
          <w:b/>
          <w:sz w:val="24"/>
          <w:szCs w:val="24"/>
          <w:u w:val="single"/>
        </w:rPr>
      </w:pPr>
      <w:r w:rsidRPr="000B5966">
        <w:rPr>
          <w:rFonts w:cs="Arial"/>
          <w:b/>
          <w:sz w:val="24"/>
          <w:szCs w:val="24"/>
          <w:u w:val="single"/>
        </w:rPr>
        <w:t>Re. Letter of ESA entitlement to IB migration claimants</w:t>
      </w:r>
      <w:r>
        <w:rPr>
          <w:rFonts w:cs="Arial"/>
          <w:b/>
          <w:sz w:val="24"/>
          <w:szCs w:val="24"/>
          <w:u w:val="single"/>
        </w:rPr>
        <w:t xml:space="preserve"> in the Support Group</w:t>
      </w:r>
    </w:p>
    <w:p w14:paraId="1468BAF1" w14:textId="77777777" w:rsidR="00013306" w:rsidRPr="000B5966" w:rsidRDefault="00013306" w:rsidP="00013306">
      <w:pPr>
        <w:rPr>
          <w:rFonts w:cs="Arial"/>
          <w:sz w:val="24"/>
          <w:szCs w:val="24"/>
        </w:rPr>
      </w:pPr>
      <w:r w:rsidRPr="000B5966">
        <w:rPr>
          <w:rFonts w:cs="Arial"/>
          <w:sz w:val="24"/>
          <w:szCs w:val="24"/>
        </w:rPr>
        <w:t>I have become</w:t>
      </w:r>
      <w:r>
        <w:rPr>
          <w:rFonts w:cs="Arial"/>
          <w:sz w:val="24"/>
          <w:szCs w:val="24"/>
        </w:rPr>
        <w:t xml:space="preserve"> increasingly</w:t>
      </w:r>
      <w:r w:rsidRPr="000B5966">
        <w:rPr>
          <w:rFonts w:cs="Arial"/>
          <w:sz w:val="24"/>
          <w:szCs w:val="24"/>
        </w:rPr>
        <w:t xml:space="preserve"> concerned about the letter of ESA entitlement which has been sent in the past (and continues to be sent) to claimants who have made the transition from Incapacity Benefit to Employment and Support Allowance.</w:t>
      </w:r>
    </w:p>
    <w:p w14:paraId="10D87DEE" w14:textId="77777777" w:rsidR="00013306" w:rsidRPr="000B5966" w:rsidRDefault="00013306" w:rsidP="00013306">
      <w:pPr>
        <w:rPr>
          <w:rFonts w:cs="Arial"/>
          <w:sz w:val="24"/>
          <w:szCs w:val="24"/>
        </w:rPr>
      </w:pPr>
      <w:r w:rsidRPr="000B5966">
        <w:rPr>
          <w:rFonts w:cs="Arial"/>
          <w:sz w:val="24"/>
          <w:szCs w:val="24"/>
        </w:rPr>
        <w:t>This letter has been issued to claimants in the Derbyshire area, but I understand that the problem may be nation-wide. I assume that the letters have been sent out ever since conversion from IB began.</w:t>
      </w:r>
    </w:p>
    <w:p w14:paraId="5C63C6C9" w14:textId="77777777" w:rsidR="00013306" w:rsidRPr="000B5966" w:rsidRDefault="00013306" w:rsidP="00013306">
      <w:pPr>
        <w:rPr>
          <w:rFonts w:cs="Arial"/>
          <w:sz w:val="24"/>
          <w:szCs w:val="24"/>
        </w:rPr>
      </w:pPr>
      <w:r w:rsidRPr="000B5966">
        <w:rPr>
          <w:rFonts w:cs="Arial"/>
          <w:sz w:val="24"/>
          <w:szCs w:val="24"/>
        </w:rPr>
        <w:t>I believe the letter to be flawed in its structure, and that this flaw will mislead claimants in to thinking that they have no entitlement to additional premiums, and thus no entitlement to Income-Related ESA</w:t>
      </w:r>
      <w:r>
        <w:rPr>
          <w:rFonts w:cs="Arial"/>
          <w:sz w:val="24"/>
          <w:szCs w:val="24"/>
        </w:rPr>
        <w:t>,</w:t>
      </w:r>
      <w:r w:rsidRPr="000B5966">
        <w:rPr>
          <w:rFonts w:cs="Arial"/>
          <w:sz w:val="24"/>
          <w:szCs w:val="24"/>
        </w:rPr>
        <w:t xml:space="preserve"> even when, from the internal evidence of the letter itself, they have a clear potential entitlement.</w:t>
      </w:r>
    </w:p>
    <w:p w14:paraId="7ACDF71D" w14:textId="77777777" w:rsidR="00013306" w:rsidRPr="000B5966" w:rsidRDefault="00013306" w:rsidP="00013306">
      <w:pPr>
        <w:rPr>
          <w:rFonts w:cs="Arial"/>
          <w:sz w:val="24"/>
          <w:szCs w:val="24"/>
        </w:rPr>
      </w:pPr>
      <w:r w:rsidRPr="000B5966">
        <w:rPr>
          <w:rFonts w:cs="Arial"/>
          <w:sz w:val="24"/>
          <w:szCs w:val="24"/>
        </w:rPr>
        <w:t>The format of the letter is as follows (with reference to the final page of each letter)</w:t>
      </w:r>
    </w:p>
    <w:p w14:paraId="4A8E1B88"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b/>
          <w:sz w:val="24"/>
          <w:szCs w:val="24"/>
        </w:rPr>
      </w:pPr>
      <w:r w:rsidRPr="000B5966">
        <w:rPr>
          <w:rFonts w:cs="Arial"/>
          <w:b/>
          <w:sz w:val="24"/>
          <w:szCs w:val="24"/>
        </w:rPr>
        <w:t>How Employment and Support Allowance has been worked out</w:t>
      </w:r>
    </w:p>
    <w:p w14:paraId="48C2FDF5"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The payment of Employment And Support Allowance is based on your National Insurance Contribution records and any additional amount the law says you need to live on</w:t>
      </w:r>
    </w:p>
    <w:p w14:paraId="7B9579C4"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 xml:space="preserve">Your living expenses </w:t>
      </w:r>
      <w:r w:rsidRPr="000B5966">
        <w:rPr>
          <w:rFonts w:cs="Arial"/>
          <w:sz w:val="24"/>
          <w:szCs w:val="24"/>
        </w:rPr>
        <w:tab/>
        <w:t>[personal allowance given]</w:t>
      </w:r>
    </w:p>
    <w:p w14:paraId="306D4545"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b/>
          <w:sz w:val="24"/>
          <w:szCs w:val="24"/>
        </w:rPr>
      </w:pPr>
      <w:r w:rsidRPr="000B5966">
        <w:rPr>
          <w:rFonts w:cs="Arial"/>
          <w:b/>
          <w:sz w:val="24"/>
          <w:szCs w:val="24"/>
        </w:rPr>
        <w:t>Limited Capability for Work Addition</w:t>
      </w:r>
    </w:p>
    <w:p w14:paraId="6B0745A6"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Extra money because you are in the Support Group</w:t>
      </w:r>
      <w:r w:rsidRPr="000B5966">
        <w:rPr>
          <w:rFonts w:cs="Arial"/>
          <w:sz w:val="24"/>
          <w:szCs w:val="24"/>
        </w:rPr>
        <w:tab/>
        <w:t>[SG element given]</w:t>
      </w:r>
    </w:p>
    <w:p w14:paraId="1107EC7D"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Which gives a total income-related amount</w:t>
      </w:r>
      <w:r w:rsidRPr="000B5966">
        <w:rPr>
          <w:rFonts w:cs="Arial"/>
          <w:sz w:val="24"/>
          <w:szCs w:val="24"/>
        </w:rPr>
        <w:tab/>
      </w:r>
      <w:r w:rsidRPr="000B5966">
        <w:rPr>
          <w:rFonts w:cs="Arial"/>
          <w:sz w:val="24"/>
          <w:szCs w:val="24"/>
        </w:rPr>
        <w:tab/>
        <w:t>[sum of the two]</w:t>
      </w:r>
    </w:p>
    <w:p w14:paraId="7808428F"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b/>
          <w:sz w:val="24"/>
          <w:szCs w:val="24"/>
        </w:rPr>
      </w:pPr>
      <w:r w:rsidRPr="000B5966">
        <w:rPr>
          <w:rFonts w:cs="Arial"/>
          <w:b/>
          <w:sz w:val="24"/>
          <w:szCs w:val="24"/>
        </w:rPr>
        <w:t>Income and Benefits</w:t>
      </w:r>
    </w:p>
    <w:p w14:paraId="6FEE6F44"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[income taken off where there is any]</w:t>
      </w:r>
    </w:p>
    <w:p w14:paraId="292F85B5"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 xml:space="preserve">Your income-related amount is [sum of the two] plus £0.00 so you would have been entitled to [sum of the two] </w:t>
      </w:r>
    </w:p>
    <w:p w14:paraId="1F2929ED"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However because you are entitled to Contribution-Based Employment and Support Allowance we will pay you [sum of the two plus any transitional amount]</w:t>
      </w:r>
    </w:p>
    <w:p w14:paraId="093A3348"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b/>
          <w:sz w:val="24"/>
          <w:szCs w:val="24"/>
        </w:rPr>
      </w:pPr>
      <w:r w:rsidRPr="000B5966">
        <w:rPr>
          <w:rFonts w:cs="Arial"/>
          <w:b/>
          <w:sz w:val="24"/>
          <w:szCs w:val="24"/>
        </w:rPr>
        <w:t>Top-Up Payment</w:t>
      </w:r>
    </w:p>
    <w:p w14:paraId="18CDFDE4" w14:textId="77777777" w:rsidR="00013306" w:rsidRPr="000B5966" w:rsidRDefault="00013306" w:rsidP="00013306">
      <w:pPr>
        <w:pBdr>
          <w:top w:val="single" w:sz="4" w:space="1" w:color="auto"/>
          <w:left w:val="single" w:sz="4" w:space="4" w:color="auto"/>
          <w:bottom w:val="single" w:sz="4" w:space="1" w:color="auto"/>
          <w:right w:val="single" w:sz="4" w:space="4" w:color="auto"/>
        </w:pBdr>
        <w:rPr>
          <w:rFonts w:cs="Arial"/>
          <w:sz w:val="24"/>
          <w:szCs w:val="24"/>
        </w:rPr>
      </w:pPr>
      <w:r w:rsidRPr="000B5966">
        <w:rPr>
          <w:rFonts w:cs="Arial"/>
          <w:sz w:val="24"/>
          <w:szCs w:val="24"/>
        </w:rPr>
        <w:t>Included in your Employment and Support Allowance entitlement is a top-up payment which ensures you won’t see a reduction in the level of your benefit as a result of the change to Employment and Support Allowance [relevant transitional sum given]</w:t>
      </w:r>
    </w:p>
    <w:p w14:paraId="3191D82A" w14:textId="77777777" w:rsidR="00013306" w:rsidRPr="000B5966" w:rsidRDefault="00013306" w:rsidP="00013306">
      <w:pPr>
        <w:rPr>
          <w:rFonts w:cs="Arial"/>
          <w:sz w:val="24"/>
          <w:szCs w:val="24"/>
        </w:rPr>
      </w:pPr>
      <w:r w:rsidRPr="000B5966">
        <w:rPr>
          <w:rFonts w:cs="Arial"/>
          <w:sz w:val="24"/>
          <w:szCs w:val="24"/>
        </w:rPr>
        <w:t>The letter states plainly that the claimant is entitled to ESA in the Support Group and awards the Support Group element as part of a purported</w:t>
      </w:r>
      <w:r>
        <w:rPr>
          <w:rFonts w:cs="Arial"/>
          <w:sz w:val="24"/>
          <w:szCs w:val="24"/>
        </w:rPr>
        <w:t xml:space="preserve"> assessment for income-related benefit</w:t>
      </w:r>
      <w:r w:rsidRPr="000B5966">
        <w:rPr>
          <w:rFonts w:cs="Arial"/>
          <w:sz w:val="24"/>
          <w:szCs w:val="24"/>
        </w:rPr>
        <w:t xml:space="preserve"> – but it leaves out the Enhanced Disability Premium, which should be awarded alongside the Support Group element.</w:t>
      </w:r>
    </w:p>
    <w:p w14:paraId="431E8FE9" w14:textId="77777777" w:rsidR="00013306" w:rsidRDefault="00013306" w:rsidP="00013306">
      <w:pPr>
        <w:rPr>
          <w:rFonts w:cs="Arial"/>
          <w:sz w:val="24"/>
          <w:szCs w:val="24"/>
        </w:rPr>
      </w:pPr>
      <w:r w:rsidRPr="000B5966">
        <w:rPr>
          <w:rFonts w:cs="Arial"/>
          <w:sz w:val="24"/>
          <w:szCs w:val="24"/>
        </w:rPr>
        <w:t>There also appears to be no place in this format for the Severe Disability or Care</w:t>
      </w:r>
      <w:r>
        <w:rPr>
          <w:rFonts w:cs="Arial"/>
          <w:sz w:val="24"/>
          <w:szCs w:val="24"/>
        </w:rPr>
        <w:t>r</w:t>
      </w:r>
      <w:r w:rsidRPr="000B5966">
        <w:rPr>
          <w:rFonts w:cs="Arial"/>
          <w:sz w:val="24"/>
          <w:szCs w:val="24"/>
        </w:rPr>
        <w:t xml:space="preserve"> Premiums where they are appropriate.</w:t>
      </w:r>
      <w:r>
        <w:rPr>
          <w:rFonts w:cs="Arial"/>
          <w:sz w:val="24"/>
          <w:szCs w:val="24"/>
        </w:rPr>
        <w:t xml:space="preserve"> </w:t>
      </w:r>
    </w:p>
    <w:p w14:paraId="0683B085" w14:textId="77777777" w:rsidR="00013306" w:rsidRDefault="00013306" w:rsidP="00013306">
      <w:pPr>
        <w:rPr>
          <w:rFonts w:cs="Arial"/>
          <w:sz w:val="24"/>
          <w:szCs w:val="24"/>
        </w:rPr>
      </w:pPr>
      <w:r>
        <w:rPr>
          <w:rFonts w:cs="Arial"/>
          <w:sz w:val="24"/>
          <w:szCs w:val="24"/>
        </w:rPr>
        <w:t>The problem may be equally applicable to claimants in the Work Related Group where entitlement to EDP, CP or SDP arises from entitlement to CA, DLA or PIP.</w:t>
      </w:r>
    </w:p>
    <w:p w14:paraId="05178DC0" w14:textId="77777777" w:rsidR="00013306" w:rsidRPr="000B5966" w:rsidRDefault="00013306" w:rsidP="00013306">
      <w:pPr>
        <w:rPr>
          <w:rFonts w:cs="Arial"/>
          <w:sz w:val="24"/>
          <w:szCs w:val="24"/>
        </w:rPr>
      </w:pPr>
      <w:r>
        <w:rPr>
          <w:rFonts w:cs="Arial"/>
          <w:sz w:val="24"/>
          <w:szCs w:val="24"/>
        </w:rPr>
        <w:t>In the cases that I have seen, there has clearly been no adaptation of the letter to fit the claimant’s individual circumstances.</w:t>
      </w:r>
    </w:p>
    <w:p w14:paraId="73A5B166" w14:textId="77777777" w:rsidR="00013306" w:rsidRDefault="00013306" w:rsidP="00013306">
      <w:pPr>
        <w:rPr>
          <w:rFonts w:cs="Arial"/>
          <w:sz w:val="24"/>
          <w:szCs w:val="24"/>
        </w:rPr>
      </w:pPr>
      <w:r w:rsidRPr="000B5966">
        <w:rPr>
          <w:rFonts w:cs="Arial"/>
          <w:sz w:val="24"/>
          <w:szCs w:val="24"/>
        </w:rPr>
        <w:t xml:space="preserve">The claimant is therefore given a wholly inaccurate picture of what the law says s/he needs to live on, as the ‘income-related amount’ </w:t>
      </w:r>
      <w:r>
        <w:rPr>
          <w:rFonts w:cs="Arial"/>
          <w:sz w:val="24"/>
          <w:szCs w:val="24"/>
        </w:rPr>
        <w:t xml:space="preserve">(applicable amount) </w:t>
      </w:r>
      <w:r w:rsidRPr="000B5966">
        <w:rPr>
          <w:rFonts w:cs="Arial"/>
          <w:sz w:val="24"/>
          <w:szCs w:val="24"/>
        </w:rPr>
        <w:t>quoted is far short of what it should be.</w:t>
      </w:r>
      <w:r>
        <w:rPr>
          <w:rFonts w:cs="Arial"/>
          <w:sz w:val="24"/>
          <w:szCs w:val="24"/>
        </w:rPr>
        <w:t xml:space="preserve"> </w:t>
      </w:r>
    </w:p>
    <w:p w14:paraId="36938E2A" w14:textId="77777777" w:rsidR="00013306" w:rsidRPr="000B5966" w:rsidRDefault="00013306" w:rsidP="00013306">
      <w:pPr>
        <w:rPr>
          <w:rFonts w:cs="Arial"/>
          <w:sz w:val="24"/>
          <w:szCs w:val="24"/>
        </w:rPr>
      </w:pPr>
      <w:r w:rsidRPr="000B5966">
        <w:rPr>
          <w:rFonts w:cs="Arial"/>
          <w:sz w:val="24"/>
          <w:szCs w:val="24"/>
        </w:rPr>
        <w:t>I also consider that calling the IB transitional amount a ‘top-up payment’ may make claimants believe that this is their Income-Related entitlement when it is nothing of the sort.</w:t>
      </w:r>
      <w:r>
        <w:rPr>
          <w:rFonts w:cs="Arial"/>
          <w:sz w:val="24"/>
          <w:szCs w:val="24"/>
        </w:rPr>
        <w:t xml:space="preserve"> </w:t>
      </w:r>
      <w:r w:rsidRPr="000B5966">
        <w:rPr>
          <w:rFonts w:cs="Arial"/>
          <w:sz w:val="24"/>
          <w:szCs w:val="24"/>
        </w:rPr>
        <w:t>The explanatory wording under the heading of ‘Top-Up Payment’ is slightly ambiguous, and may contribute to</w:t>
      </w:r>
      <w:r>
        <w:rPr>
          <w:rFonts w:cs="Arial"/>
          <w:sz w:val="24"/>
          <w:szCs w:val="24"/>
        </w:rPr>
        <w:t xml:space="preserve"> any</w:t>
      </w:r>
      <w:r w:rsidRPr="000B5966">
        <w:rPr>
          <w:rFonts w:cs="Arial"/>
          <w:sz w:val="24"/>
          <w:szCs w:val="24"/>
        </w:rPr>
        <w:t xml:space="preserve"> confusion rather than clarify</w:t>
      </w:r>
      <w:r>
        <w:rPr>
          <w:rFonts w:cs="Arial"/>
          <w:sz w:val="24"/>
          <w:szCs w:val="24"/>
        </w:rPr>
        <w:t>ing matters</w:t>
      </w:r>
      <w:r w:rsidRPr="000B5966">
        <w:rPr>
          <w:rFonts w:cs="Arial"/>
          <w:sz w:val="24"/>
          <w:szCs w:val="24"/>
        </w:rPr>
        <w:t>.</w:t>
      </w:r>
    </w:p>
    <w:p w14:paraId="55C1C1B1" w14:textId="77777777" w:rsidR="00013306" w:rsidRPr="000B5966" w:rsidRDefault="00013306" w:rsidP="00013306">
      <w:pPr>
        <w:rPr>
          <w:rFonts w:cs="Arial"/>
          <w:sz w:val="24"/>
          <w:szCs w:val="24"/>
        </w:rPr>
      </w:pPr>
      <w:r w:rsidRPr="000B5966">
        <w:rPr>
          <w:rFonts w:cs="Arial"/>
          <w:sz w:val="24"/>
          <w:szCs w:val="24"/>
        </w:rPr>
        <w:t>It is my understanding that as a part of the ‘migration’ scheme, the Secretary of State was enabled to seek information and evidence for the purposes of determining whether an award should be converted to ESA, including to establish whether a claimant whose existing award is IB or SDA, and who was not entitled to IS, might be entitled to ESA(IR) as well as ESA(Cont) on conversion. [DMG Chapter 45 para 45413]</w:t>
      </w:r>
    </w:p>
    <w:p w14:paraId="05307461" w14:textId="77777777" w:rsidR="00013306" w:rsidRPr="000B5966" w:rsidRDefault="00013306" w:rsidP="00013306">
      <w:pPr>
        <w:rPr>
          <w:rFonts w:cs="Arial"/>
          <w:sz w:val="24"/>
          <w:szCs w:val="24"/>
        </w:rPr>
      </w:pPr>
      <w:r w:rsidRPr="000B5966">
        <w:rPr>
          <w:rFonts w:cs="Arial"/>
          <w:sz w:val="24"/>
          <w:szCs w:val="24"/>
        </w:rPr>
        <w:t>These letters would indicate that this power has not been</w:t>
      </w:r>
      <w:r>
        <w:rPr>
          <w:rFonts w:cs="Arial"/>
          <w:sz w:val="24"/>
          <w:szCs w:val="24"/>
        </w:rPr>
        <w:t xml:space="preserve"> exercised in many cases, and that a standardised approach has been taken that has led to unintended consequences. If the problem is widespread, as I think it may be, then there will be numerous claimants around the country who are under-claiming Income-Related ESA and other benefits to which they would be ‘passported’ by IRESA.</w:t>
      </w:r>
    </w:p>
    <w:p w14:paraId="24AF2595" w14:textId="37CE68E5" w:rsidR="00013306" w:rsidRDefault="00013306" w:rsidP="00013306">
      <w:pPr>
        <w:rPr>
          <w:rFonts w:cs="Arial"/>
          <w:sz w:val="24"/>
          <w:szCs w:val="24"/>
        </w:rPr>
      </w:pPr>
      <w:r w:rsidRPr="000B5966">
        <w:rPr>
          <w:rFonts w:cs="Arial"/>
          <w:sz w:val="24"/>
          <w:szCs w:val="24"/>
        </w:rPr>
        <w:t xml:space="preserve">I am working on the assumption that this letter is a nationally-used DWP format and not a local phenomenon. I am therefore raising this with </w:t>
      </w:r>
      <w:r>
        <w:rPr>
          <w:rFonts w:cs="Arial"/>
          <w:sz w:val="24"/>
          <w:szCs w:val="24"/>
        </w:rPr>
        <w:t>your</w:t>
      </w:r>
      <w:r w:rsidRPr="000B5966">
        <w:rPr>
          <w:rFonts w:cs="Arial"/>
          <w:sz w:val="24"/>
          <w:szCs w:val="24"/>
        </w:rPr>
        <w:t xml:space="preserve"> office as a general issue and will be raising individual cases with Derby Benefit Centre.</w:t>
      </w:r>
    </w:p>
    <w:p w14:paraId="62E1AB47" w14:textId="049AE240" w:rsidR="00013306" w:rsidRDefault="00013306" w:rsidP="00013306">
      <w:pPr>
        <w:rPr>
          <w:rFonts w:cs="Arial"/>
          <w:sz w:val="24"/>
          <w:szCs w:val="24"/>
        </w:rPr>
      </w:pPr>
      <w:r>
        <w:rPr>
          <w:rFonts w:cs="Arial"/>
          <w:sz w:val="24"/>
          <w:szCs w:val="24"/>
        </w:rPr>
        <w:t>I enclose a recent example of the letter, with the claimant’s personal details deleted even though I have the claimant’s permission to share the information, as I wish this to be a policy issue and not a complaint about a single case.</w:t>
      </w:r>
    </w:p>
    <w:p w14:paraId="0674AEC5" w14:textId="77777777" w:rsidR="00013306" w:rsidRPr="000B5966" w:rsidRDefault="00013306" w:rsidP="00013306">
      <w:pPr>
        <w:rPr>
          <w:rFonts w:cs="Arial"/>
          <w:sz w:val="24"/>
          <w:szCs w:val="24"/>
        </w:rPr>
      </w:pPr>
      <w:r w:rsidRPr="000B5966">
        <w:rPr>
          <w:rFonts w:cs="Arial"/>
          <w:sz w:val="24"/>
          <w:szCs w:val="24"/>
        </w:rPr>
        <w:t>I would be grateful for your comments.</w:t>
      </w:r>
    </w:p>
    <w:p w14:paraId="4561653A" w14:textId="77777777" w:rsidR="00013306" w:rsidRDefault="00013306" w:rsidP="00013306">
      <w:pPr>
        <w:rPr>
          <w:sz w:val="24"/>
          <w:szCs w:val="24"/>
        </w:rPr>
      </w:pPr>
      <w:r>
        <w:rPr>
          <w:sz w:val="24"/>
          <w:szCs w:val="24"/>
        </w:rPr>
        <w:t>Yours faithfully,</w:t>
      </w:r>
    </w:p>
    <w:p w14:paraId="031F2E58" w14:textId="77777777" w:rsidR="00013306" w:rsidRDefault="00013306" w:rsidP="00013306">
      <w:pPr>
        <w:rPr>
          <w:sz w:val="24"/>
          <w:szCs w:val="24"/>
        </w:rPr>
      </w:pPr>
    </w:p>
    <w:p w14:paraId="5E419971" w14:textId="77777777" w:rsidR="00013306" w:rsidRDefault="00013306" w:rsidP="00013306">
      <w:pPr>
        <w:rPr>
          <w:sz w:val="24"/>
          <w:szCs w:val="24"/>
        </w:rPr>
      </w:pPr>
      <w:r>
        <w:rPr>
          <w:sz w:val="24"/>
          <w:szCs w:val="24"/>
        </w:rPr>
        <w:t>Andrew Dutton</w:t>
      </w:r>
    </w:p>
    <w:p w14:paraId="15A87C17" w14:textId="77777777" w:rsidR="00013306" w:rsidRDefault="00013306" w:rsidP="00013306">
      <w:pPr>
        <w:rPr>
          <w:sz w:val="24"/>
          <w:szCs w:val="24"/>
        </w:rPr>
      </w:pPr>
      <w:r>
        <w:rPr>
          <w:sz w:val="24"/>
          <w:szCs w:val="24"/>
        </w:rPr>
        <w:t>Welfare Rights Team</w:t>
      </w:r>
    </w:p>
    <w:p w14:paraId="7BAD4862" w14:textId="77777777" w:rsidR="00013306" w:rsidRDefault="00013306" w:rsidP="00013306">
      <w:pPr>
        <w:rPr>
          <w:sz w:val="24"/>
          <w:szCs w:val="24"/>
        </w:rPr>
      </w:pPr>
    </w:p>
    <w:p w14:paraId="41BEC320" w14:textId="77777777" w:rsidR="00013306" w:rsidRDefault="00013306" w:rsidP="00013306">
      <w:pPr>
        <w:rPr>
          <w:sz w:val="24"/>
          <w:szCs w:val="24"/>
        </w:rPr>
      </w:pPr>
    </w:p>
    <w:p w14:paraId="4E506F47" w14:textId="77777777" w:rsidR="00013306" w:rsidRDefault="00013306" w:rsidP="0001330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6"/>
      </w:tblGrid>
      <w:tr w:rsidR="00013306" w:rsidRPr="00A226E0" w14:paraId="1E4A548E" w14:textId="77777777" w:rsidTr="00013306">
        <w:tc>
          <w:tcPr>
            <w:tcW w:w="10279" w:type="dxa"/>
            <w:shd w:val="clear" w:color="auto" w:fill="auto"/>
          </w:tcPr>
          <w:p w14:paraId="7EC9C9A9" w14:textId="77777777" w:rsidR="00013306" w:rsidRPr="00A226E0" w:rsidRDefault="00013306" w:rsidP="00013306">
            <w:pPr>
              <w:rPr>
                <w:sz w:val="24"/>
              </w:rPr>
            </w:pPr>
            <w:r>
              <w:t>Derbyshire Adult Care complies with the Data Protection Act 1998 and values the importance of your information and will safeguard it and keep it accurate. Wherever possible we obtain your consent before sharing your information so we can ensure you get the most appropriate care and support in the right circumstances.</w:t>
            </w:r>
          </w:p>
        </w:tc>
      </w:tr>
    </w:tbl>
    <w:p w14:paraId="357C29EE" w14:textId="77777777" w:rsidR="00013306" w:rsidRPr="00025E8E" w:rsidRDefault="00013306" w:rsidP="00025E8E">
      <w:pPr>
        <w:rPr>
          <w:rFonts w:ascii="Arial" w:hAnsi="Arial" w:cs="Arial"/>
          <w:sz w:val="24"/>
          <w:szCs w:val="24"/>
        </w:rPr>
      </w:pPr>
    </w:p>
    <w:p w14:paraId="34F8F947" w14:textId="77777777" w:rsidR="00D3403A" w:rsidRPr="00D3403A" w:rsidRDefault="00D3403A" w:rsidP="00D90454">
      <w:pPr>
        <w:ind w:left="1440"/>
        <w:rPr>
          <w:rFonts w:ascii="Arial" w:hAnsi="Arial" w:cs="Arial"/>
          <w:sz w:val="20"/>
          <w:szCs w:val="20"/>
        </w:rPr>
      </w:pPr>
    </w:p>
    <w:sectPr w:rsidR="00D3403A" w:rsidRPr="00D3403A" w:rsidSect="00DB597E">
      <w:footerReference w:type="even" r:id="rId16"/>
      <w:footerReference w:type="default" r:id="rId17"/>
      <w:pgSz w:w="11900" w:h="1682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40679B" w14:textId="77777777" w:rsidR="00806E49" w:rsidRDefault="00806E49" w:rsidP="00BC6C27">
      <w:pPr>
        <w:spacing w:after="0" w:line="240" w:lineRule="auto"/>
      </w:pPr>
      <w:r>
        <w:separator/>
      </w:r>
    </w:p>
  </w:endnote>
  <w:endnote w:type="continuationSeparator" w:id="0">
    <w:p w14:paraId="672A61AE" w14:textId="77777777" w:rsidR="00806E49" w:rsidRDefault="00806E49" w:rsidP="00BC6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70716" w14:textId="77777777" w:rsidR="00806E49" w:rsidRDefault="00806E49" w:rsidP="00193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BD7EB" w14:textId="77777777" w:rsidR="00806E49" w:rsidRDefault="00806E4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97C1E" w14:textId="77777777" w:rsidR="00806E49" w:rsidRDefault="00806E49" w:rsidP="001931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777">
      <w:rPr>
        <w:rStyle w:val="PageNumber"/>
        <w:noProof/>
      </w:rPr>
      <w:t>1</w:t>
    </w:r>
    <w:r>
      <w:rPr>
        <w:rStyle w:val="PageNumber"/>
      </w:rPr>
      <w:fldChar w:fldCharType="end"/>
    </w:r>
  </w:p>
  <w:p w14:paraId="539A2C7C" w14:textId="77777777" w:rsidR="00806E49" w:rsidRDefault="00806E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71170" w14:textId="77777777" w:rsidR="00806E49" w:rsidRDefault="00806E49" w:rsidP="00BC6C27">
      <w:pPr>
        <w:spacing w:after="0" w:line="240" w:lineRule="auto"/>
      </w:pPr>
      <w:r>
        <w:separator/>
      </w:r>
    </w:p>
  </w:footnote>
  <w:footnote w:type="continuationSeparator" w:id="0">
    <w:p w14:paraId="7617C2E5" w14:textId="77777777" w:rsidR="00806E49" w:rsidRDefault="00806E49" w:rsidP="00BC6C27">
      <w:pPr>
        <w:spacing w:after="0" w:line="240" w:lineRule="auto"/>
      </w:pPr>
      <w:r>
        <w:continuationSeparator/>
      </w:r>
    </w:p>
  </w:footnote>
  <w:footnote w:id="1">
    <w:p w14:paraId="5B4BB3E7" w14:textId="445F3DAF" w:rsidR="00806E49" w:rsidRPr="00EF3041" w:rsidRDefault="00806E49">
      <w:pPr>
        <w:pStyle w:val="FootnoteText"/>
        <w:rPr>
          <w:lang w:val="en-US"/>
        </w:rPr>
      </w:pPr>
      <w:r>
        <w:rPr>
          <w:rStyle w:val="FootnoteReference"/>
        </w:rPr>
        <w:footnoteRef/>
      </w:r>
      <w:r>
        <w:t xml:space="preserve"> </w:t>
      </w:r>
      <w:r w:rsidRPr="00EF3041">
        <w:rPr>
          <w:rFonts w:ascii="Arial" w:hAnsi="Arial" w:cs="Arial"/>
          <w:sz w:val="20"/>
          <w:szCs w:val="20"/>
        </w:rPr>
        <w:t>https://www.rightsnet.org.uk/forums/viewthread/5928/</w:t>
      </w:r>
    </w:p>
  </w:footnote>
  <w:footnote w:id="2">
    <w:p w14:paraId="5BA61E41" w14:textId="7D5CC982" w:rsidR="005656C1" w:rsidRPr="005656C1" w:rsidRDefault="005656C1">
      <w:pPr>
        <w:pStyle w:val="FootnoteText"/>
        <w:rPr>
          <w:lang w:val="en-US"/>
        </w:rPr>
      </w:pPr>
      <w:r>
        <w:rPr>
          <w:rStyle w:val="FootnoteReference"/>
        </w:rPr>
        <w:footnoteRef/>
      </w:r>
      <w:r>
        <w:t xml:space="preserve"> </w:t>
      </w:r>
      <w:r w:rsidRPr="005656C1">
        <w:rPr>
          <w:rFonts w:ascii="Arial" w:hAnsi="Arial" w:cs="Arial"/>
          <w:sz w:val="20"/>
          <w:szCs w:val="20"/>
        </w:rPr>
        <w:t>https://www.rightsnet.org.uk/about</w:t>
      </w:r>
    </w:p>
  </w:footnote>
  <w:footnote w:id="3">
    <w:p w14:paraId="28B8CA0B" w14:textId="3D234190" w:rsidR="00806E49" w:rsidRPr="00C35C29" w:rsidRDefault="00806E49">
      <w:pPr>
        <w:pStyle w:val="FootnoteText"/>
        <w:rPr>
          <w:lang w:val="en-US"/>
        </w:rPr>
      </w:pPr>
      <w:r>
        <w:rPr>
          <w:rStyle w:val="FootnoteReference"/>
        </w:rPr>
        <w:footnoteRef/>
      </w:r>
      <w:r>
        <w:t xml:space="preserve"> </w:t>
      </w:r>
      <w:r w:rsidRPr="007628A9">
        <w:rPr>
          <w:rFonts w:ascii="Arial" w:hAnsi="Arial" w:cs="Arial"/>
          <w:sz w:val="20"/>
          <w:szCs w:val="20"/>
        </w:rPr>
        <w:t>http://administrativeappeals.decisions.tribunals.gov.uk//Aspx/view.aspx?id=4349</w:t>
      </w:r>
    </w:p>
  </w:footnote>
  <w:footnote w:id="4">
    <w:p w14:paraId="07318E7A" w14:textId="32947EE7" w:rsidR="00806E49" w:rsidRPr="008E3201" w:rsidRDefault="00806E49">
      <w:pPr>
        <w:pStyle w:val="FootnoteText"/>
        <w:rPr>
          <w:rFonts w:ascii="Arial" w:hAnsi="Arial" w:cs="Arial"/>
          <w:sz w:val="20"/>
          <w:szCs w:val="20"/>
          <w:lang w:val="en-US"/>
        </w:rPr>
      </w:pPr>
      <w:r>
        <w:rPr>
          <w:rStyle w:val="FootnoteReference"/>
        </w:rPr>
        <w:footnoteRef/>
      </w:r>
      <w:r>
        <w:t xml:space="preserve"> </w:t>
      </w:r>
      <w:r>
        <w:rPr>
          <w:rFonts w:ascii="Arial" w:hAnsi="Arial" w:cs="Arial"/>
          <w:sz w:val="20"/>
          <w:szCs w:val="20"/>
        </w:rPr>
        <w:t xml:space="preserve">the case which the DWP are using as a reason to limit full backdating - </w:t>
      </w:r>
      <w:r w:rsidRPr="008E3201">
        <w:rPr>
          <w:rFonts w:ascii="Arial" w:hAnsi="Arial" w:cs="Arial"/>
          <w:sz w:val="20"/>
          <w:szCs w:val="20"/>
        </w:rPr>
        <w:t>http://administrativeappeals.decisions.tribunals.gov.uk//Aspx/view.aspx?id=4349</w:t>
      </w:r>
    </w:p>
  </w:footnote>
  <w:footnote w:id="5">
    <w:p w14:paraId="5D7DA054" w14:textId="3209D059" w:rsidR="00806E49" w:rsidRPr="00ED6647" w:rsidRDefault="00806E49">
      <w:pPr>
        <w:pStyle w:val="FootnoteText"/>
        <w:rPr>
          <w:lang w:val="en-US"/>
        </w:rPr>
      </w:pPr>
      <w:r>
        <w:rPr>
          <w:rStyle w:val="FootnoteReference"/>
        </w:rPr>
        <w:footnoteRef/>
      </w:r>
      <w:r>
        <w:t xml:space="preserve"> </w:t>
      </w:r>
      <w:r w:rsidRPr="00ED6647">
        <w:rPr>
          <w:rFonts w:ascii="Arial" w:hAnsi="Arial" w:cs="Arial"/>
          <w:sz w:val="20"/>
          <w:szCs w:val="20"/>
        </w:rPr>
        <w:t>http://www.nawra.org.uk/index.php/ib-and-esa-conversion-letter-to-damien-green-mp/</w:t>
      </w:r>
    </w:p>
  </w:footnote>
  <w:footnote w:id="6">
    <w:p w14:paraId="1C8D6E38" w14:textId="2AEB1B0A" w:rsidR="00806E49" w:rsidRPr="00176083" w:rsidRDefault="00806E49">
      <w:pPr>
        <w:pStyle w:val="FootnoteText"/>
        <w:rPr>
          <w:rFonts w:ascii="Arial" w:hAnsi="Arial" w:cs="Arial"/>
          <w:sz w:val="20"/>
          <w:szCs w:val="20"/>
          <w:lang w:val="en-US"/>
        </w:rPr>
      </w:pPr>
      <w:r>
        <w:rPr>
          <w:rStyle w:val="FootnoteReference"/>
        </w:rPr>
        <w:footnoteRef/>
      </w:r>
      <w:r>
        <w:t xml:space="preserve"> </w:t>
      </w:r>
      <w:r w:rsidRPr="00176083">
        <w:rPr>
          <w:rFonts w:ascii="Arial" w:hAnsi="Arial" w:cs="Arial"/>
          <w:sz w:val="20"/>
          <w:szCs w:val="20"/>
        </w:rPr>
        <w:t>https://www.parliament.uk/business/publications/written-questions-answers-statements/written-statement/Commons/2017-12-14/HCWS356/</w:t>
      </w:r>
    </w:p>
  </w:footnote>
  <w:footnote w:id="7">
    <w:p w14:paraId="38432C80" w14:textId="229F1BC9" w:rsidR="00806E49" w:rsidRPr="00F97696" w:rsidRDefault="00806E49">
      <w:pPr>
        <w:pStyle w:val="FootnoteText"/>
        <w:rPr>
          <w:lang w:val="en-US"/>
        </w:rPr>
      </w:pPr>
      <w:r>
        <w:rPr>
          <w:rStyle w:val="FootnoteReference"/>
        </w:rPr>
        <w:footnoteRef/>
      </w:r>
      <w:r>
        <w:t xml:space="preserve"> </w:t>
      </w:r>
      <w:r w:rsidRPr="00F97696">
        <w:rPr>
          <w:rFonts w:ascii="Arial" w:hAnsi="Arial" w:cs="Arial"/>
          <w:sz w:val="20"/>
          <w:szCs w:val="20"/>
        </w:rPr>
        <w:t>https://www.nao.org.uk/press-release/investigation-into-errors-in-employment-and-support-allowance/</w:t>
      </w:r>
    </w:p>
  </w:footnote>
  <w:footnote w:id="8">
    <w:p w14:paraId="1187C495" w14:textId="535BF7EE" w:rsidR="00806E49" w:rsidRPr="000C0D11" w:rsidRDefault="00806E49">
      <w:pPr>
        <w:pStyle w:val="FootnoteText"/>
        <w:rPr>
          <w:lang w:val="en-US"/>
        </w:rPr>
      </w:pPr>
      <w:r>
        <w:rPr>
          <w:rStyle w:val="FootnoteReference"/>
        </w:rPr>
        <w:footnoteRef/>
      </w:r>
      <w:r>
        <w:t xml:space="preserve"> </w:t>
      </w:r>
      <w:r w:rsidRPr="000C0D11">
        <w:rPr>
          <w:rFonts w:ascii="Arial" w:hAnsi="Arial" w:cs="Arial"/>
          <w:sz w:val="20"/>
          <w:szCs w:val="20"/>
        </w:rPr>
        <w:t>http://www.legislation.gov.uk/ukpga/1998/14</w:t>
      </w:r>
    </w:p>
  </w:footnote>
  <w:footnote w:id="9">
    <w:p w14:paraId="72B981F5" w14:textId="470CCC71" w:rsidR="00806E49" w:rsidRPr="00806E49" w:rsidRDefault="00806E49">
      <w:pPr>
        <w:pStyle w:val="FootnoteText"/>
        <w:rPr>
          <w:lang w:val="en-US"/>
        </w:rPr>
      </w:pPr>
      <w:r>
        <w:rPr>
          <w:rStyle w:val="FootnoteReference"/>
        </w:rPr>
        <w:footnoteRef/>
      </w:r>
      <w:r>
        <w:t xml:space="preserve"> </w:t>
      </w:r>
      <w:r w:rsidRPr="00806E49">
        <w:rPr>
          <w:rFonts w:ascii="Arial" w:eastAsia="Times New Roman" w:hAnsi="Arial" w:cs="Arial"/>
          <w:sz w:val="20"/>
          <w:szCs w:val="20"/>
        </w:rPr>
        <w:t>regulation 3(5)(a) of the Social Security and Child Support (Decisions and Appeals Regulations 1999 - http://www.legislation.gov.uk/uksi/1999/991/regulation/3</w:t>
      </w:r>
    </w:p>
  </w:footnote>
  <w:footnote w:id="10">
    <w:p w14:paraId="37EC2F07" w14:textId="28F57073" w:rsidR="00806E49" w:rsidRPr="00806E49" w:rsidRDefault="00806E49">
      <w:pPr>
        <w:pStyle w:val="FootnoteText"/>
        <w:rPr>
          <w:lang w:val="en-US"/>
        </w:rPr>
      </w:pPr>
      <w:r>
        <w:rPr>
          <w:rStyle w:val="FootnoteReference"/>
        </w:rPr>
        <w:footnoteRef/>
      </w:r>
      <w:r>
        <w:t xml:space="preserve"> </w:t>
      </w:r>
      <w:r w:rsidRPr="00806E49">
        <w:rPr>
          <w:rFonts w:ascii="Arial" w:eastAsia="Times New Roman" w:hAnsi="Arial" w:cs="Arial"/>
          <w:sz w:val="20"/>
          <w:szCs w:val="20"/>
        </w:rPr>
        <w:t>section 9(3) of the Social Security Act 1998 - http://www.legislation.gov.uk/ukpga/1998/14/pdfs/ukpga_19980014_300617_en.pdf</w:t>
      </w:r>
    </w:p>
  </w:footnote>
  <w:footnote w:id="11">
    <w:p w14:paraId="5217E5B0" w14:textId="591B408E" w:rsidR="00806E49" w:rsidRPr="00AF739C" w:rsidRDefault="00806E49">
      <w:pPr>
        <w:pStyle w:val="FootnoteText"/>
        <w:rPr>
          <w:lang w:val="en-US"/>
        </w:rPr>
      </w:pPr>
      <w:r>
        <w:rPr>
          <w:rStyle w:val="FootnoteReference"/>
        </w:rPr>
        <w:footnoteRef/>
      </w:r>
      <w:r>
        <w:t xml:space="preserve"> </w:t>
      </w:r>
      <w:r w:rsidR="0036021C" w:rsidRPr="0036021C">
        <w:rPr>
          <w:rFonts w:ascii="Arial" w:eastAsia="Times New Roman" w:hAnsi="Arial" w:cs="Arial"/>
          <w:sz w:val="20"/>
          <w:szCs w:val="20"/>
        </w:rPr>
        <w:t>Schedule 9 paragraph 11(2) of the Employment and Support Allowance Regulations 2008 -</w:t>
      </w:r>
      <w:r w:rsidR="0036021C">
        <w:rPr>
          <w:rFonts w:ascii="Arial" w:eastAsia="Times New Roman" w:hAnsi="Arial" w:cs="Arial"/>
        </w:rPr>
        <w:t xml:space="preserve"> </w:t>
      </w:r>
      <w:r w:rsidRPr="00AF739C">
        <w:rPr>
          <w:rFonts w:ascii="Arial" w:hAnsi="Arial" w:cs="Arial"/>
          <w:sz w:val="20"/>
          <w:szCs w:val="20"/>
        </w:rPr>
        <w:t>http://www.legislation.gov.uk/uksi/2008/794/pdfs/uksi_20080794_301117_en.pdf</w:t>
      </w:r>
    </w:p>
  </w:footnote>
  <w:footnote w:id="12">
    <w:p w14:paraId="3CF6D2F9" w14:textId="52FBFC24" w:rsidR="00806E49" w:rsidRPr="00571B6C" w:rsidRDefault="00806E49">
      <w:pPr>
        <w:pStyle w:val="FootnoteText"/>
        <w:rPr>
          <w:lang w:val="en-US"/>
        </w:rPr>
      </w:pPr>
      <w:r>
        <w:rPr>
          <w:rStyle w:val="FootnoteReference"/>
        </w:rPr>
        <w:footnoteRef/>
      </w:r>
      <w:r>
        <w:t xml:space="preserve"> </w:t>
      </w:r>
      <w:r w:rsidRPr="00571B6C">
        <w:rPr>
          <w:rFonts w:ascii="Arial" w:hAnsi="Arial" w:cs="Arial"/>
          <w:sz w:val="20"/>
          <w:szCs w:val="20"/>
        </w:rPr>
        <w:t>https://www.gov.uk/government/publications/financial-redress-for-injustice-resulting-from-maladministration</w:t>
      </w:r>
    </w:p>
  </w:footnote>
  <w:footnote w:id="13">
    <w:p w14:paraId="0FC592D4" w14:textId="7B34507B" w:rsidR="00806E49" w:rsidRPr="00DB597E" w:rsidRDefault="00806E49">
      <w:pPr>
        <w:pStyle w:val="FootnoteText"/>
        <w:rPr>
          <w:lang w:val="en-US"/>
        </w:rPr>
      </w:pPr>
      <w:r>
        <w:rPr>
          <w:rStyle w:val="FootnoteReference"/>
        </w:rPr>
        <w:footnoteRef/>
      </w:r>
      <w:r>
        <w:t xml:space="preserve"> </w:t>
      </w:r>
      <w:r w:rsidRPr="00DB597E">
        <w:rPr>
          <w:rFonts w:ascii="Arial" w:hAnsi="Arial" w:cs="Arial"/>
          <w:sz w:val="20"/>
          <w:szCs w:val="20"/>
        </w:rPr>
        <w:t>http://www.nawra.org.uk/wordpress/wordpress/wp-content/uploads/2018/01/NAWRA-letter-to-SoS-re-conversion-to-ESA-9-Feb-2018.pdf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372"/>
    <w:multiLevelType w:val="hybridMultilevel"/>
    <w:tmpl w:val="C23E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77052"/>
    <w:multiLevelType w:val="hybridMultilevel"/>
    <w:tmpl w:val="124C653C"/>
    <w:lvl w:ilvl="0" w:tplc="26841D78">
      <w:start w:val="29"/>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27319"/>
    <w:multiLevelType w:val="hybridMultilevel"/>
    <w:tmpl w:val="B5F2B07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
    <w:nsid w:val="07602167"/>
    <w:multiLevelType w:val="hybridMultilevel"/>
    <w:tmpl w:val="319EC82A"/>
    <w:lvl w:ilvl="0" w:tplc="01E04F1A">
      <w:start w:val="5"/>
      <w:numFmt w:val="decimal"/>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E1007"/>
    <w:multiLevelType w:val="hybridMultilevel"/>
    <w:tmpl w:val="3DE6F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A14DB2"/>
    <w:multiLevelType w:val="hybridMultilevel"/>
    <w:tmpl w:val="F96E8FF0"/>
    <w:lvl w:ilvl="0" w:tplc="0A56CAE4">
      <w:start w:val="7"/>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1E39A2"/>
    <w:multiLevelType w:val="hybridMultilevel"/>
    <w:tmpl w:val="6970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D739EF"/>
    <w:multiLevelType w:val="multilevel"/>
    <w:tmpl w:val="319EC82A"/>
    <w:lvl w:ilvl="0">
      <w:start w:val="5"/>
      <w:numFmt w:val="decimal"/>
      <w:lvlText w:val="%1."/>
      <w:lvlJc w:val="left"/>
      <w:pPr>
        <w:tabs>
          <w:tab w:val="num" w:pos="284"/>
        </w:tabs>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BF821AD"/>
    <w:multiLevelType w:val="hybridMultilevel"/>
    <w:tmpl w:val="5D782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6A0447"/>
    <w:multiLevelType w:val="hybridMultilevel"/>
    <w:tmpl w:val="F8126626"/>
    <w:lvl w:ilvl="0" w:tplc="ACF0F598">
      <w:start w:val="16"/>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8A4859"/>
    <w:multiLevelType w:val="hybridMultilevel"/>
    <w:tmpl w:val="794486C8"/>
    <w:lvl w:ilvl="0" w:tplc="4F2EEBD4">
      <w:start w:val="8"/>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B25C07"/>
    <w:multiLevelType w:val="multilevel"/>
    <w:tmpl w:val="4DDA19A0"/>
    <w:lvl w:ilvl="0">
      <w:start w:val="33"/>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C1155D1"/>
    <w:multiLevelType w:val="hybridMultilevel"/>
    <w:tmpl w:val="102EF500"/>
    <w:lvl w:ilvl="0" w:tplc="914462DE">
      <w:start w:val="39"/>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A6658F"/>
    <w:multiLevelType w:val="hybridMultilevel"/>
    <w:tmpl w:val="03565342"/>
    <w:lvl w:ilvl="0" w:tplc="D8944FE6">
      <w:start w:val="37"/>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A744B"/>
    <w:multiLevelType w:val="multilevel"/>
    <w:tmpl w:val="5BBCB744"/>
    <w:lvl w:ilvl="0">
      <w:start w:val="40"/>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3BC71FA"/>
    <w:multiLevelType w:val="hybridMultilevel"/>
    <w:tmpl w:val="C92416FC"/>
    <w:lvl w:ilvl="0" w:tplc="ACF0F598">
      <w:start w:val="16"/>
      <w:numFmt w:val="decimal"/>
      <w:lvlText w:val="%1."/>
      <w:lvlJc w:val="left"/>
      <w:pPr>
        <w:ind w:left="680" w:hanging="34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6">
    <w:nsid w:val="341F51B8"/>
    <w:multiLevelType w:val="hybridMultilevel"/>
    <w:tmpl w:val="7ADEF9F4"/>
    <w:lvl w:ilvl="0" w:tplc="ACF0F598">
      <w:start w:val="16"/>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213E32"/>
    <w:multiLevelType w:val="hybridMultilevel"/>
    <w:tmpl w:val="ADEE1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7A368C"/>
    <w:multiLevelType w:val="hybridMultilevel"/>
    <w:tmpl w:val="96A8371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9">
    <w:nsid w:val="3AE05970"/>
    <w:multiLevelType w:val="hybridMultilevel"/>
    <w:tmpl w:val="B830B3B8"/>
    <w:lvl w:ilvl="0" w:tplc="7EC276B0">
      <w:start w:val="39"/>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161F8D"/>
    <w:multiLevelType w:val="hybridMultilevel"/>
    <w:tmpl w:val="2618C18C"/>
    <w:lvl w:ilvl="0" w:tplc="34D071DC">
      <w:start w:val="39"/>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477D4A"/>
    <w:multiLevelType w:val="hybridMultilevel"/>
    <w:tmpl w:val="6544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2C3AF7"/>
    <w:multiLevelType w:val="multilevel"/>
    <w:tmpl w:val="E272E64E"/>
    <w:lvl w:ilvl="0">
      <w:start w:val="37"/>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4F0ADB"/>
    <w:multiLevelType w:val="hybridMultilevel"/>
    <w:tmpl w:val="5174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EB1228"/>
    <w:multiLevelType w:val="hybridMultilevel"/>
    <w:tmpl w:val="CE066A08"/>
    <w:lvl w:ilvl="0" w:tplc="1E66BA30">
      <w:start w:val="34"/>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CB43C9"/>
    <w:multiLevelType w:val="hybridMultilevel"/>
    <w:tmpl w:val="702E0B92"/>
    <w:lvl w:ilvl="0" w:tplc="E73A581E">
      <w:start w:val="7"/>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ED5306"/>
    <w:multiLevelType w:val="hybridMultilevel"/>
    <w:tmpl w:val="893073C2"/>
    <w:lvl w:ilvl="0" w:tplc="9F7E4DFC">
      <w:start w:val="6"/>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7532B1"/>
    <w:multiLevelType w:val="multilevel"/>
    <w:tmpl w:val="03565342"/>
    <w:lvl w:ilvl="0">
      <w:start w:val="37"/>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4FA11123"/>
    <w:multiLevelType w:val="hybridMultilevel"/>
    <w:tmpl w:val="5E94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0D240E"/>
    <w:multiLevelType w:val="hybridMultilevel"/>
    <w:tmpl w:val="FB326A16"/>
    <w:lvl w:ilvl="0" w:tplc="375E832E">
      <w:start w:val="1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14700F"/>
    <w:multiLevelType w:val="multilevel"/>
    <w:tmpl w:val="193A0A72"/>
    <w:lvl w:ilvl="0">
      <w:start w:val="37"/>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A885676"/>
    <w:multiLevelType w:val="multilevel"/>
    <w:tmpl w:val="702E0B92"/>
    <w:lvl w:ilvl="0">
      <w:start w:val="7"/>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A10972"/>
    <w:multiLevelType w:val="hybridMultilevel"/>
    <w:tmpl w:val="8A7AECC8"/>
    <w:lvl w:ilvl="0" w:tplc="F2B84176">
      <w:start w:val="25"/>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B157D53"/>
    <w:multiLevelType w:val="hybridMultilevel"/>
    <w:tmpl w:val="4DDA19A0"/>
    <w:lvl w:ilvl="0" w:tplc="4064D24E">
      <w:start w:val="33"/>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E0DB5"/>
    <w:multiLevelType w:val="hybridMultilevel"/>
    <w:tmpl w:val="193A0A72"/>
    <w:lvl w:ilvl="0" w:tplc="D8944FE6">
      <w:start w:val="37"/>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947266"/>
    <w:multiLevelType w:val="hybridMultilevel"/>
    <w:tmpl w:val="E438E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54027F"/>
    <w:multiLevelType w:val="multilevel"/>
    <w:tmpl w:val="5BBCB744"/>
    <w:lvl w:ilvl="0">
      <w:start w:val="40"/>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692F7E88"/>
    <w:multiLevelType w:val="multilevel"/>
    <w:tmpl w:val="909C1B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9424B52"/>
    <w:multiLevelType w:val="hybridMultilevel"/>
    <w:tmpl w:val="07664546"/>
    <w:lvl w:ilvl="0" w:tplc="141E416A">
      <w:start w:val="14"/>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C8E4470"/>
    <w:multiLevelType w:val="hybridMultilevel"/>
    <w:tmpl w:val="5BBCB744"/>
    <w:lvl w:ilvl="0" w:tplc="1F4620F4">
      <w:start w:val="40"/>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26055F"/>
    <w:multiLevelType w:val="multilevel"/>
    <w:tmpl w:val="893073C2"/>
    <w:lvl w:ilvl="0">
      <w:start w:val="6"/>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EAB53A4"/>
    <w:multiLevelType w:val="multilevel"/>
    <w:tmpl w:val="F642D674"/>
    <w:lvl w:ilvl="0">
      <w:start w:val="10"/>
      <w:numFmt w:val="decimal"/>
      <w:lvlText w:val="%1."/>
      <w:lvlJc w:val="left"/>
      <w:pPr>
        <w:tabs>
          <w:tab w:val="num" w:pos="340"/>
        </w:tabs>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714E1CA9"/>
    <w:multiLevelType w:val="hybridMultilevel"/>
    <w:tmpl w:val="BC9427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nsid w:val="75367AB8"/>
    <w:multiLevelType w:val="hybridMultilevel"/>
    <w:tmpl w:val="8B1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7709E5"/>
    <w:multiLevelType w:val="hybridMultilevel"/>
    <w:tmpl w:val="C94E60E6"/>
    <w:lvl w:ilvl="0" w:tplc="F278A08E">
      <w:start w:val="21"/>
      <w:numFmt w:val="decimal"/>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31535E"/>
    <w:multiLevelType w:val="hybridMultilevel"/>
    <w:tmpl w:val="F59AA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1"/>
  </w:num>
  <w:num w:numId="4">
    <w:abstractNumId w:val="8"/>
  </w:num>
  <w:num w:numId="5">
    <w:abstractNumId w:val="43"/>
  </w:num>
  <w:num w:numId="6">
    <w:abstractNumId w:val="18"/>
  </w:num>
  <w:num w:numId="7">
    <w:abstractNumId w:val="0"/>
  </w:num>
  <w:num w:numId="8">
    <w:abstractNumId w:val="45"/>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3"/>
  </w:num>
  <w:num w:numId="12">
    <w:abstractNumId w:val="7"/>
  </w:num>
  <w:num w:numId="13">
    <w:abstractNumId w:val="26"/>
  </w:num>
  <w:num w:numId="14">
    <w:abstractNumId w:val="40"/>
  </w:num>
  <w:num w:numId="15">
    <w:abstractNumId w:val="25"/>
  </w:num>
  <w:num w:numId="16">
    <w:abstractNumId w:val="6"/>
  </w:num>
  <w:num w:numId="17">
    <w:abstractNumId w:val="29"/>
  </w:num>
  <w:num w:numId="18">
    <w:abstractNumId w:val="28"/>
  </w:num>
  <w:num w:numId="19">
    <w:abstractNumId w:val="2"/>
  </w:num>
  <w:num w:numId="20">
    <w:abstractNumId w:val="38"/>
  </w:num>
  <w:num w:numId="21">
    <w:abstractNumId w:val="37"/>
  </w:num>
  <w:num w:numId="22">
    <w:abstractNumId w:val="16"/>
  </w:num>
  <w:num w:numId="23">
    <w:abstractNumId w:val="15"/>
  </w:num>
  <w:num w:numId="24">
    <w:abstractNumId w:val="9"/>
  </w:num>
  <w:num w:numId="25">
    <w:abstractNumId w:val="44"/>
  </w:num>
  <w:num w:numId="26">
    <w:abstractNumId w:val="32"/>
  </w:num>
  <w:num w:numId="27">
    <w:abstractNumId w:val="1"/>
  </w:num>
  <w:num w:numId="28">
    <w:abstractNumId w:val="33"/>
  </w:num>
  <w:num w:numId="29">
    <w:abstractNumId w:val="11"/>
  </w:num>
  <w:num w:numId="30">
    <w:abstractNumId w:val="24"/>
  </w:num>
  <w:num w:numId="31">
    <w:abstractNumId w:val="13"/>
  </w:num>
  <w:num w:numId="32">
    <w:abstractNumId w:val="22"/>
  </w:num>
  <w:num w:numId="33">
    <w:abstractNumId w:val="34"/>
  </w:num>
  <w:num w:numId="34">
    <w:abstractNumId w:val="30"/>
  </w:num>
  <w:num w:numId="35">
    <w:abstractNumId w:val="19"/>
  </w:num>
  <w:num w:numId="36">
    <w:abstractNumId w:val="35"/>
  </w:num>
  <w:num w:numId="37">
    <w:abstractNumId w:val="5"/>
  </w:num>
  <w:num w:numId="38">
    <w:abstractNumId w:val="31"/>
  </w:num>
  <w:num w:numId="39">
    <w:abstractNumId w:val="10"/>
  </w:num>
  <w:num w:numId="40">
    <w:abstractNumId w:val="20"/>
  </w:num>
  <w:num w:numId="41">
    <w:abstractNumId w:val="27"/>
  </w:num>
  <w:num w:numId="42">
    <w:abstractNumId w:val="39"/>
  </w:num>
  <w:num w:numId="43">
    <w:abstractNumId w:val="41"/>
  </w:num>
  <w:num w:numId="44">
    <w:abstractNumId w:val="36"/>
  </w:num>
  <w:num w:numId="45">
    <w:abstractNumId w:val="14"/>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24"/>
    <w:rsid w:val="000035D8"/>
    <w:rsid w:val="00013306"/>
    <w:rsid w:val="00025E8E"/>
    <w:rsid w:val="0007381E"/>
    <w:rsid w:val="00077298"/>
    <w:rsid w:val="000B081C"/>
    <w:rsid w:val="000C0D11"/>
    <w:rsid w:val="000C20F5"/>
    <w:rsid w:val="000D4029"/>
    <w:rsid w:val="000F3F7B"/>
    <w:rsid w:val="000F518A"/>
    <w:rsid w:val="001018A5"/>
    <w:rsid w:val="00104D9C"/>
    <w:rsid w:val="00124594"/>
    <w:rsid w:val="00157972"/>
    <w:rsid w:val="00160E14"/>
    <w:rsid w:val="00176083"/>
    <w:rsid w:val="001931AF"/>
    <w:rsid w:val="00194142"/>
    <w:rsid w:val="001A2C83"/>
    <w:rsid w:val="001A6CFF"/>
    <w:rsid w:val="001B0750"/>
    <w:rsid w:val="001C0B70"/>
    <w:rsid w:val="001C62D6"/>
    <w:rsid w:val="001E2E13"/>
    <w:rsid w:val="00205986"/>
    <w:rsid w:val="00216321"/>
    <w:rsid w:val="00233E0D"/>
    <w:rsid w:val="00234022"/>
    <w:rsid w:val="00240D86"/>
    <w:rsid w:val="00245D47"/>
    <w:rsid w:val="00253B8F"/>
    <w:rsid w:val="002649BA"/>
    <w:rsid w:val="00270236"/>
    <w:rsid w:val="0027355F"/>
    <w:rsid w:val="00274EB2"/>
    <w:rsid w:val="002816A5"/>
    <w:rsid w:val="00282A06"/>
    <w:rsid w:val="002B7D44"/>
    <w:rsid w:val="002D754D"/>
    <w:rsid w:val="003015D5"/>
    <w:rsid w:val="0036021C"/>
    <w:rsid w:val="003A3AFB"/>
    <w:rsid w:val="003C4FBA"/>
    <w:rsid w:val="003C5400"/>
    <w:rsid w:val="003F0C53"/>
    <w:rsid w:val="0043071A"/>
    <w:rsid w:val="00453B9A"/>
    <w:rsid w:val="00474489"/>
    <w:rsid w:val="004775E8"/>
    <w:rsid w:val="00482EB3"/>
    <w:rsid w:val="00484DE6"/>
    <w:rsid w:val="0048594A"/>
    <w:rsid w:val="00513D1B"/>
    <w:rsid w:val="00536C71"/>
    <w:rsid w:val="00547504"/>
    <w:rsid w:val="00550711"/>
    <w:rsid w:val="005656C1"/>
    <w:rsid w:val="00566791"/>
    <w:rsid w:val="00571B6C"/>
    <w:rsid w:val="005A735C"/>
    <w:rsid w:val="00607D0F"/>
    <w:rsid w:val="00612BDB"/>
    <w:rsid w:val="006150CC"/>
    <w:rsid w:val="00623B70"/>
    <w:rsid w:val="006641E6"/>
    <w:rsid w:val="00671A4A"/>
    <w:rsid w:val="0067782B"/>
    <w:rsid w:val="006821CD"/>
    <w:rsid w:val="00695D5B"/>
    <w:rsid w:val="006D5216"/>
    <w:rsid w:val="00705441"/>
    <w:rsid w:val="00707F2B"/>
    <w:rsid w:val="00746D30"/>
    <w:rsid w:val="00756E70"/>
    <w:rsid w:val="007628A9"/>
    <w:rsid w:val="007C3FEF"/>
    <w:rsid w:val="007F0C89"/>
    <w:rsid w:val="007F1603"/>
    <w:rsid w:val="0080298C"/>
    <w:rsid w:val="00806E49"/>
    <w:rsid w:val="00823736"/>
    <w:rsid w:val="00824BD5"/>
    <w:rsid w:val="00873B18"/>
    <w:rsid w:val="00892C94"/>
    <w:rsid w:val="008E3201"/>
    <w:rsid w:val="008E4C24"/>
    <w:rsid w:val="008F0BD2"/>
    <w:rsid w:val="00914485"/>
    <w:rsid w:val="00915551"/>
    <w:rsid w:val="00947A24"/>
    <w:rsid w:val="00962552"/>
    <w:rsid w:val="00962C72"/>
    <w:rsid w:val="009715D2"/>
    <w:rsid w:val="00983DA2"/>
    <w:rsid w:val="009A1B2D"/>
    <w:rsid w:val="009D77DE"/>
    <w:rsid w:val="00A21DBC"/>
    <w:rsid w:val="00A60C96"/>
    <w:rsid w:val="00AB1BA0"/>
    <w:rsid w:val="00AC33F8"/>
    <w:rsid w:val="00AF2FCC"/>
    <w:rsid w:val="00AF739C"/>
    <w:rsid w:val="00B17995"/>
    <w:rsid w:val="00B22BC0"/>
    <w:rsid w:val="00B51B63"/>
    <w:rsid w:val="00B644AE"/>
    <w:rsid w:val="00B77B85"/>
    <w:rsid w:val="00B87233"/>
    <w:rsid w:val="00B93B20"/>
    <w:rsid w:val="00BC6C27"/>
    <w:rsid w:val="00BC763D"/>
    <w:rsid w:val="00BF0EEE"/>
    <w:rsid w:val="00BF6EC9"/>
    <w:rsid w:val="00C0458B"/>
    <w:rsid w:val="00C16B39"/>
    <w:rsid w:val="00C21BCB"/>
    <w:rsid w:val="00C25591"/>
    <w:rsid w:val="00C27A6E"/>
    <w:rsid w:val="00C35C29"/>
    <w:rsid w:val="00C40BD1"/>
    <w:rsid w:val="00C70E2B"/>
    <w:rsid w:val="00C74773"/>
    <w:rsid w:val="00C87A7F"/>
    <w:rsid w:val="00CB687E"/>
    <w:rsid w:val="00CD5299"/>
    <w:rsid w:val="00CF45C1"/>
    <w:rsid w:val="00D3403A"/>
    <w:rsid w:val="00D71420"/>
    <w:rsid w:val="00D73839"/>
    <w:rsid w:val="00D74777"/>
    <w:rsid w:val="00D878BC"/>
    <w:rsid w:val="00D90454"/>
    <w:rsid w:val="00D90577"/>
    <w:rsid w:val="00D90EEC"/>
    <w:rsid w:val="00D9690B"/>
    <w:rsid w:val="00DB597E"/>
    <w:rsid w:val="00DC2A0C"/>
    <w:rsid w:val="00DD4CA3"/>
    <w:rsid w:val="00DE7B0C"/>
    <w:rsid w:val="00DF380F"/>
    <w:rsid w:val="00E0784A"/>
    <w:rsid w:val="00E15C33"/>
    <w:rsid w:val="00E35D4C"/>
    <w:rsid w:val="00E61AEF"/>
    <w:rsid w:val="00E6602D"/>
    <w:rsid w:val="00E67627"/>
    <w:rsid w:val="00E8261A"/>
    <w:rsid w:val="00ED350A"/>
    <w:rsid w:val="00ED6647"/>
    <w:rsid w:val="00EF3041"/>
    <w:rsid w:val="00F313A5"/>
    <w:rsid w:val="00F41ACA"/>
    <w:rsid w:val="00F738C9"/>
    <w:rsid w:val="00F97696"/>
    <w:rsid w:val="00FA3C9D"/>
    <w:rsid w:val="00FA4624"/>
    <w:rsid w:val="00FA4D52"/>
    <w:rsid w:val="00FB0FB5"/>
    <w:rsid w:val="00FB6A3B"/>
    <w:rsid w:val="00FE7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EF8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624"/>
    <w:rPr>
      <w:color w:val="0000FF" w:themeColor="hyperlink"/>
      <w:u w:val="single"/>
    </w:rPr>
  </w:style>
  <w:style w:type="paragraph" w:styleId="BalloonText">
    <w:name w:val="Balloon Text"/>
    <w:basedOn w:val="Normal"/>
    <w:link w:val="BalloonTextChar"/>
    <w:uiPriority w:val="99"/>
    <w:semiHidden/>
    <w:unhideWhenUsed/>
    <w:rsid w:val="00FA46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624"/>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unhideWhenUsed/>
    <w:rsid w:val="00BC6C27"/>
    <w:pPr>
      <w:spacing w:after="0" w:line="240" w:lineRule="auto"/>
    </w:pPr>
    <w:rPr>
      <w:sz w:val="24"/>
      <w:szCs w:val="24"/>
    </w:rPr>
  </w:style>
  <w:style w:type="character" w:customStyle="1" w:styleId="FootnoteTextChar">
    <w:name w:val="Footnote Text Char"/>
    <w:basedOn w:val="DefaultParagraphFont"/>
    <w:link w:val="FootnoteText"/>
    <w:uiPriority w:val="99"/>
    <w:rsid w:val="00BC6C27"/>
    <w:rPr>
      <w:rFonts w:eastAsiaTheme="minorHAnsi"/>
      <w:lang w:val="en-GB"/>
    </w:rPr>
  </w:style>
  <w:style w:type="character" w:styleId="FootnoteReference">
    <w:name w:val="footnote reference"/>
    <w:basedOn w:val="DefaultParagraphFont"/>
    <w:uiPriority w:val="99"/>
    <w:unhideWhenUsed/>
    <w:rsid w:val="00BC6C27"/>
    <w:rPr>
      <w:vertAlign w:val="superscript"/>
    </w:rPr>
  </w:style>
  <w:style w:type="paragraph" w:styleId="ListParagraph">
    <w:name w:val="List Paragraph"/>
    <w:basedOn w:val="Normal"/>
    <w:uiPriority w:val="34"/>
    <w:qFormat/>
    <w:rsid w:val="001E2E13"/>
    <w:pPr>
      <w:ind w:left="720"/>
      <w:contextualSpacing/>
    </w:pPr>
  </w:style>
  <w:style w:type="paragraph" w:styleId="Footer">
    <w:name w:val="footer"/>
    <w:basedOn w:val="Normal"/>
    <w:link w:val="FooterChar"/>
    <w:uiPriority w:val="99"/>
    <w:unhideWhenUsed/>
    <w:rsid w:val="00D73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3839"/>
    <w:rPr>
      <w:rFonts w:eastAsiaTheme="minorHAnsi"/>
      <w:sz w:val="22"/>
      <w:szCs w:val="22"/>
      <w:lang w:val="en-GB"/>
    </w:rPr>
  </w:style>
  <w:style w:type="character" w:styleId="PageNumber">
    <w:name w:val="page number"/>
    <w:basedOn w:val="DefaultParagraphFont"/>
    <w:uiPriority w:val="99"/>
    <w:semiHidden/>
    <w:unhideWhenUsed/>
    <w:rsid w:val="00D73839"/>
  </w:style>
  <w:style w:type="paragraph" w:styleId="NormalWeb">
    <w:name w:val="Normal (Web)"/>
    <w:basedOn w:val="Normal"/>
    <w:uiPriority w:val="99"/>
    <w:semiHidden/>
    <w:unhideWhenUsed/>
    <w:rsid w:val="00282A06"/>
    <w:pPr>
      <w:spacing w:before="100" w:beforeAutospacing="1" w:after="100" w:afterAutospacing="1" w:line="240" w:lineRule="auto"/>
    </w:pPr>
    <w:rPr>
      <w:rFonts w:ascii="Times" w:eastAsiaTheme="minorEastAsia" w:hAnsi="Times" w:cs="Times New Roman"/>
      <w:sz w:val="20"/>
      <w:szCs w:val="20"/>
    </w:rPr>
  </w:style>
  <w:style w:type="paragraph" w:customStyle="1" w:styleId="xmsonormal">
    <w:name w:val="x_msonormal"/>
    <w:basedOn w:val="Normal"/>
    <w:rsid w:val="00F41ACA"/>
    <w:pPr>
      <w:spacing w:before="100" w:beforeAutospacing="1" w:after="100" w:afterAutospacing="1" w:line="240" w:lineRule="auto"/>
    </w:pPr>
    <w:rPr>
      <w:rFonts w:ascii="Times" w:eastAsiaTheme="minorEastAsia" w:hAnsi="Times"/>
      <w:sz w:val="20"/>
      <w:szCs w:val="20"/>
    </w:rPr>
  </w:style>
  <w:style w:type="paragraph" w:styleId="BodyText">
    <w:name w:val="Body Text"/>
    <w:basedOn w:val="Normal"/>
    <w:link w:val="BodyTextChar"/>
    <w:rsid w:val="00013306"/>
    <w:pPr>
      <w:spacing w:after="220" w:line="220" w:lineRule="atLeast"/>
      <w:jc w:val="both"/>
    </w:pPr>
    <w:rPr>
      <w:rFonts w:ascii="Arial" w:eastAsia="Times New Roman" w:hAnsi="Arial" w:cs="Times New Roman"/>
      <w:spacing w:val="-5"/>
      <w:sz w:val="20"/>
      <w:szCs w:val="20"/>
      <w:lang w:eastAsia="en-GB"/>
    </w:rPr>
  </w:style>
  <w:style w:type="character" w:customStyle="1" w:styleId="BodyTextChar">
    <w:name w:val="Body Text Char"/>
    <w:basedOn w:val="DefaultParagraphFont"/>
    <w:link w:val="BodyText"/>
    <w:rsid w:val="00013306"/>
    <w:rPr>
      <w:rFonts w:ascii="Arial" w:eastAsia="Times New Roman" w:hAnsi="Arial" w:cs="Times New Roman"/>
      <w:spacing w:val="-5"/>
      <w:sz w:val="20"/>
      <w:szCs w:val="20"/>
      <w:lang w:val="en-GB" w:eastAsia="en-GB"/>
    </w:rPr>
  </w:style>
  <w:style w:type="paragraph" w:styleId="Closing">
    <w:name w:val="Closing"/>
    <w:basedOn w:val="Normal"/>
    <w:next w:val="Signature"/>
    <w:link w:val="ClosingChar"/>
    <w:rsid w:val="00013306"/>
    <w:pPr>
      <w:keepNext/>
      <w:spacing w:after="60" w:line="220" w:lineRule="atLeast"/>
      <w:jc w:val="both"/>
    </w:pPr>
    <w:rPr>
      <w:rFonts w:ascii="Arial" w:eastAsia="Times New Roman" w:hAnsi="Arial" w:cs="Times New Roman"/>
      <w:spacing w:val="-5"/>
      <w:sz w:val="20"/>
      <w:szCs w:val="20"/>
      <w:lang w:eastAsia="en-GB"/>
    </w:rPr>
  </w:style>
  <w:style w:type="character" w:customStyle="1" w:styleId="ClosingChar">
    <w:name w:val="Closing Char"/>
    <w:basedOn w:val="DefaultParagraphFont"/>
    <w:link w:val="Closing"/>
    <w:rsid w:val="00013306"/>
    <w:rPr>
      <w:rFonts w:ascii="Arial" w:eastAsia="Times New Roman" w:hAnsi="Arial" w:cs="Times New Roman"/>
      <w:spacing w:val="-5"/>
      <w:sz w:val="20"/>
      <w:szCs w:val="20"/>
      <w:lang w:val="en-GB" w:eastAsia="en-GB"/>
    </w:rPr>
  </w:style>
  <w:style w:type="paragraph" w:customStyle="1" w:styleId="CompanyName">
    <w:name w:val="Company Name"/>
    <w:basedOn w:val="Normal"/>
    <w:rsid w:val="00013306"/>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lang w:eastAsia="en-GB"/>
    </w:rPr>
  </w:style>
  <w:style w:type="paragraph" w:customStyle="1" w:styleId="ReturnAddress">
    <w:name w:val="Return Address"/>
    <w:basedOn w:val="Normal"/>
    <w:rsid w:val="00013306"/>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eastAsia="en-GB"/>
    </w:rPr>
  </w:style>
  <w:style w:type="paragraph" w:styleId="Header">
    <w:name w:val="header"/>
    <w:basedOn w:val="Normal"/>
    <w:link w:val="HeaderChar"/>
    <w:rsid w:val="00013306"/>
    <w:pPr>
      <w:tabs>
        <w:tab w:val="center" w:pos="4320"/>
        <w:tab w:val="right" w:pos="8640"/>
      </w:tabs>
      <w:spacing w:after="0" w:line="240" w:lineRule="auto"/>
      <w:jc w:val="both"/>
    </w:pPr>
    <w:rPr>
      <w:rFonts w:ascii="Arial" w:eastAsia="Times New Roman" w:hAnsi="Arial" w:cs="Times New Roman"/>
      <w:spacing w:val="-5"/>
      <w:sz w:val="20"/>
      <w:szCs w:val="20"/>
      <w:lang w:eastAsia="en-GB"/>
    </w:rPr>
  </w:style>
  <w:style w:type="character" w:customStyle="1" w:styleId="HeaderChar">
    <w:name w:val="Header Char"/>
    <w:basedOn w:val="DefaultParagraphFont"/>
    <w:link w:val="Header"/>
    <w:rsid w:val="00013306"/>
    <w:rPr>
      <w:rFonts w:ascii="Arial" w:eastAsia="Times New Roman" w:hAnsi="Arial" w:cs="Times New Roman"/>
      <w:spacing w:val="-5"/>
      <w:sz w:val="20"/>
      <w:szCs w:val="20"/>
      <w:lang w:val="en-GB" w:eastAsia="en-GB"/>
    </w:rPr>
  </w:style>
  <w:style w:type="paragraph" w:styleId="Signature">
    <w:name w:val="Signature"/>
    <w:basedOn w:val="Normal"/>
    <w:link w:val="SignatureChar"/>
    <w:uiPriority w:val="99"/>
    <w:semiHidden/>
    <w:unhideWhenUsed/>
    <w:rsid w:val="00013306"/>
    <w:pPr>
      <w:spacing w:after="0" w:line="240" w:lineRule="auto"/>
      <w:ind w:left="4252"/>
    </w:pPr>
  </w:style>
  <w:style w:type="character" w:customStyle="1" w:styleId="SignatureChar">
    <w:name w:val="Signature Char"/>
    <w:basedOn w:val="DefaultParagraphFont"/>
    <w:link w:val="Signature"/>
    <w:uiPriority w:val="99"/>
    <w:semiHidden/>
    <w:rsid w:val="00013306"/>
    <w:rPr>
      <w:rFonts w:eastAsiaTheme="minorHAnsi"/>
      <w:sz w:val="22"/>
      <w:szCs w:val="22"/>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624"/>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4624"/>
    <w:rPr>
      <w:color w:val="0000FF" w:themeColor="hyperlink"/>
      <w:u w:val="single"/>
    </w:rPr>
  </w:style>
  <w:style w:type="paragraph" w:styleId="BalloonText">
    <w:name w:val="Balloon Text"/>
    <w:basedOn w:val="Normal"/>
    <w:link w:val="BalloonTextChar"/>
    <w:uiPriority w:val="99"/>
    <w:semiHidden/>
    <w:unhideWhenUsed/>
    <w:rsid w:val="00FA462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4624"/>
    <w:rPr>
      <w:rFonts w:ascii="Lucida Grande" w:eastAsiaTheme="minorHAnsi" w:hAnsi="Lucida Grande" w:cs="Lucida Grande"/>
      <w:sz w:val="18"/>
      <w:szCs w:val="18"/>
      <w:lang w:val="en-GB"/>
    </w:rPr>
  </w:style>
  <w:style w:type="paragraph" w:styleId="FootnoteText">
    <w:name w:val="footnote text"/>
    <w:basedOn w:val="Normal"/>
    <w:link w:val="FootnoteTextChar"/>
    <w:uiPriority w:val="99"/>
    <w:unhideWhenUsed/>
    <w:rsid w:val="00BC6C27"/>
    <w:pPr>
      <w:spacing w:after="0" w:line="240" w:lineRule="auto"/>
    </w:pPr>
    <w:rPr>
      <w:sz w:val="24"/>
      <w:szCs w:val="24"/>
    </w:rPr>
  </w:style>
  <w:style w:type="character" w:customStyle="1" w:styleId="FootnoteTextChar">
    <w:name w:val="Footnote Text Char"/>
    <w:basedOn w:val="DefaultParagraphFont"/>
    <w:link w:val="FootnoteText"/>
    <w:uiPriority w:val="99"/>
    <w:rsid w:val="00BC6C27"/>
    <w:rPr>
      <w:rFonts w:eastAsiaTheme="minorHAnsi"/>
      <w:lang w:val="en-GB"/>
    </w:rPr>
  </w:style>
  <w:style w:type="character" w:styleId="FootnoteReference">
    <w:name w:val="footnote reference"/>
    <w:basedOn w:val="DefaultParagraphFont"/>
    <w:uiPriority w:val="99"/>
    <w:unhideWhenUsed/>
    <w:rsid w:val="00BC6C27"/>
    <w:rPr>
      <w:vertAlign w:val="superscript"/>
    </w:rPr>
  </w:style>
  <w:style w:type="paragraph" w:styleId="ListParagraph">
    <w:name w:val="List Paragraph"/>
    <w:basedOn w:val="Normal"/>
    <w:uiPriority w:val="34"/>
    <w:qFormat/>
    <w:rsid w:val="001E2E13"/>
    <w:pPr>
      <w:ind w:left="720"/>
      <w:contextualSpacing/>
    </w:pPr>
  </w:style>
  <w:style w:type="paragraph" w:styleId="Footer">
    <w:name w:val="footer"/>
    <w:basedOn w:val="Normal"/>
    <w:link w:val="FooterChar"/>
    <w:uiPriority w:val="99"/>
    <w:unhideWhenUsed/>
    <w:rsid w:val="00D73839"/>
    <w:pPr>
      <w:tabs>
        <w:tab w:val="center" w:pos="4320"/>
        <w:tab w:val="right" w:pos="8640"/>
      </w:tabs>
      <w:spacing w:after="0" w:line="240" w:lineRule="auto"/>
    </w:pPr>
  </w:style>
  <w:style w:type="character" w:customStyle="1" w:styleId="FooterChar">
    <w:name w:val="Footer Char"/>
    <w:basedOn w:val="DefaultParagraphFont"/>
    <w:link w:val="Footer"/>
    <w:uiPriority w:val="99"/>
    <w:rsid w:val="00D73839"/>
    <w:rPr>
      <w:rFonts w:eastAsiaTheme="minorHAnsi"/>
      <w:sz w:val="22"/>
      <w:szCs w:val="22"/>
      <w:lang w:val="en-GB"/>
    </w:rPr>
  </w:style>
  <w:style w:type="character" w:styleId="PageNumber">
    <w:name w:val="page number"/>
    <w:basedOn w:val="DefaultParagraphFont"/>
    <w:uiPriority w:val="99"/>
    <w:semiHidden/>
    <w:unhideWhenUsed/>
    <w:rsid w:val="00D73839"/>
  </w:style>
  <w:style w:type="paragraph" w:styleId="NormalWeb">
    <w:name w:val="Normal (Web)"/>
    <w:basedOn w:val="Normal"/>
    <w:uiPriority w:val="99"/>
    <w:semiHidden/>
    <w:unhideWhenUsed/>
    <w:rsid w:val="00282A06"/>
    <w:pPr>
      <w:spacing w:before="100" w:beforeAutospacing="1" w:after="100" w:afterAutospacing="1" w:line="240" w:lineRule="auto"/>
    </w:pPr>
    <w:rPr>
      <w:rFonts w:ascii="Times" w:eastAsiaTheme="minorEastAsia" w:hAnsi="Times" w:cs="Times New Roman"/>
      <w:sz w:val="20"/>
      <w:szCs w:val="20"/>
    </w:rPr>
  </w:style>
  <w:style w:type="paragraph" w:customStyle="1" w:styleId="xmsonormal">
    <w:name w:val="x_msonormal"/>
    <w:basedOn w:val="Normal"/>
    <w:rsid w:val="00F41ACA"/>
    <w:pPr>
      <w:spacing w:before="100" w:beforeAutospacing="1" w:after="100" w:afterAutospacing="1" w:line="240" w:lineRule="auto"/>
    </w:pPr>
    <w:rPr>
      <w:rFonts w:ascii="Times" w:eastAsiaTheme="minorEastAsia" w:hAnsi="Times"/>
      <w:sz w:val="20"/>
      <w:szCs w:val="20"/>
    </w:rPr>
  </w:style>
  <w:style w:type="paragraph" w:styleId="BodyText">
    <w:name w:val="Body Text"/>
    <w:basedOn w:val="Normal"/>
    <w:link w:val="BodyTextChar"/>
    <w:rsid w:val="00013306"/>
    <w:pPr>
      <w:spacing w:after="220" w:line="220" w:lineRule="atLeast"/>
      <w:jc w:val="both"/>
    </w:pPr>
    <w:rPr>
      <w:rFonts w:ascii="Arial" w:eastAsia="Times New Roman" w:hAnsi="Arial" w:cs="Times New Roman"/>
      <w:spacing w:val="-5"/>
      <w:sz w:val="20"/>
      <w:szCs w:val="20"/>
      <w:lang w:eastAsia="en-GB"/>
    </w:rPr>
  </w:style>
  <w:style w:type="character" w:customStyle="1" w:styleId="BodyTextChar">
    <w:name w:val="Body Text Char"/>
    <w:basedOn w:val="DefaultParagraphFont"/>
    <w:link w:val="BodyText"/>
    <w:rsid w:val="00013306"/>
    <w:rPr>
      <w:rFonts w:ascii="Arial" w:eastAsia="Times New Roman" w:hAnsi="Arial" w:cs="Times New Roman"/>
      <w:spacing w:val="-5"/>
      <w:sz w:val="20"/>
      <w:szCs w:val="20"/>
      <w:lang w:val="en-GB" w:eastAsia="en-GB"/>
    </w:rPr>
  </w:style>
  <w:style w:type="paragraph" w:styleId="Closing">
    <w:name w:val="Closing"/>
    <w:basedOn w:val="Normal"/>
    <w:next w:val="Signature"/>
    <w:link w:val="ClosingChar"/>
    <w:rsid w:val="00013306"/>
    <w:pPr>
      <w:keepNext/>
      <w:spacing w:after="60" w:line="220" w:lineRule="atLeast"/>
      <w:jc w:val="both"/>
    </w:pPr>
    <w:rPr>
      <w:rFonts w:ascii="Arial" w:eastAsia="Times New Roman" w:hAnsi="Arial" w:cs="Times New Roman"/>
      <w:spacing w:val="-5"/>
      <w:sz w:val="20"/>
      <w:szCs w:val="20"/>
      <w:lang w:eastAsia="en-GB"/>
    </w:rPr>
  </w:style>
  <w:style w:type="character" w:customStyle="1" w:styleId="ClosingChar">
    <w:name w:val="Closing Char"/>
    <w:basedOn w:val="DefaultParagraphFont"/>
    <w:link w:val="Closing"/>
    <w:rsid w:val="00013306"/>
    <w:rPr>
      <w:rFonts w:ascii="Arial" w:eastAsia="Times New Roman" w:hAnsi="Arial" w:cs="Times New Roman"/>
      <w:spacing w:val="-5"/>
      <w:sz w:val="20"/>
      <w:szCs w:val="20"/>
      <w:lang w:val="en-GB" w:eastAsia="en-GB"/>
    </w:rPr>
  </w:style>
  <w:style w:type="paragraph" w:customStyle="1" w:styleId="CompanyName">
    <w:name w:val="Company Name"/>
    <w:basedOn w:val="Normal"/>
    <w:rsid w:val="00013306"/>
    <w:pPr>
      <w:framePr w:w="3845" w:h="1584" w:hSpace="187" w:vSpace="187" w:wrap="notBeside" w:vAnchor="page" w:hAnchor="margin" w:y="894" w:anchorLock="1"/>
      <w:spacing w:after="0" w:line="280" w:lineRule="atLeast"/>
      <w:jc w:val="both"/>
    </w:pPr>
    <w:rPr>
      <w:rFonts w:ascii="Arial Black" w:eastAsia="Times New Roman" w:hAnsi="Arial Black" w:cs="Times New Roman"/>
      <w:spacing w:val="-25"/>
      <w:sz w:val="32"/>
      <w:szCs w:val="20"/>
      <w:lang w:eastAsia="en-GB"/>
    </w:rPr>
  </w:style>
  <w:style w:type="paragraph" w:customStyle="1" w:styleId="ReturnAddress">
    <w:name w:val="Return Address"/>
    <w:basedOn w:val="Normal"/>
    <w:rsid w:val="00013306"/>
    <w:pPr>
      <w:keepLines/>
      <w:framePr w:w="4320" w:h="965" w:hSpace="187" w:vSpace="187" w:wrap="notBeside" w:vAnchor="page" w:hAnchor="margin" w:xAlign="right" w:y="966" w:anchorLock="1"/>
      <w:tabs>
        <w:tab w:val="left" w:pos="2160"/>
      </w:tabs>
      <w:spacing w:after="0" w:line="160" w:lineRule="atLeast"/>
    </w:pPr>
    <w:rPr>
      <w:rFonts w:ascii="Arial" w:eastAsia="Times New Roman" w:hAnsi="Arial" w:cs="Times New Roman"/>
      <w:sz w:val="14"/>
      <w:szCs w:val="20"/>
      <w:lang w:eastAsia="en-GB"/>
    </w:rPr>
  </w:style>
  <w:style w:type="paragraph" w:styleId="Header">
    <w:name w:val="header"/>
    <w:basedOn w:val="Normal"/>
    <w:link w:val="HeaderChar"/>
    <w:rsid w:val="00013306"/>
    <w:pPr>
      <w:tabs>
        <w:tab w:val="center" w:pos="4320"/>
        <w:tab w:val="right" w:pos="8640"/>
      </w:tabs>
      <w:spacing w:after="0" w:line="240" w:lineRule="auto"/>
      <w:jc w:val="both"/>
    </w:pPr>
    <w:rPr>
      <w:rFonts w:ascii="Arial" w:eastAsia="Times New Roman" w:hAnsi="Arial" w:cs="Times New Roman"/>
      <w:spacing w:val="-5"/>
      <w:sz w:val="20"/>
      <w:szCs w:val="20"/>
      <w:lang w:eastAsia="en-GB"/>
    </w:rPr>
  </w:style>
  <w:style w:type="character" w:customStyle="1" w:styleId="HeaderChar">
    <w:name w:val="Header Char"/>
    <w:basedOn w:val="DefaultParagraphFont"/>
    <w:link w:val="Header"/>
    <w:rsid w:val="00013306"/>
    <w:rPr>
      <w:rFonts w:ascii="Arial" w:eastAsia="Times New Roman" w:hAnsi="Arial" w:cs="Times New Roman"/>
      <w:spacing w:val="-5"/>
      <w:sz w:val="20"/>
      <w:szCs w:val="20"/>
      <w:lang w:val="en-GB" w:eastAsia="en-GB"/>
    </w:rPr>
  </w:style>
  <w:style w:type="paragraph" w:styleId="Signature">
    <w:name w:val="Signature"/>
    <w:basedOn w:val="Normal"/>
    <w:link w:val="SignatureChar"/>
    <w:uiPriority w:val="99"/>
    <w:semiHidden/>
    <w:unhideWhenUsed/>
    <w:rsid w:val="00013306"/>
    <w:pPr>
      <w:spacing w:after="0" w:line="240" w:lineRule="auto"/>
      <w:ind w:left="4252"/>
    </w:pPr>
  </w:style>
  <w:style w:type="character" w:customStyle="1" w:styleId="SignatureChar">
    <w:name w:val="Signature Char"/>
    <w:basedOn w:val="DefaultParagraphFont"/>
    <w:link w:val="Signature"/>
    <w:uiPriority w:val="99"/>
    <w:semiHidden/>
    <w:rsid w:val="0001330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09258">
      <w:bodyDiv w:val="1"/>
      <w:marLeft w:val="0"/>
      <w:marRight w:val="0"/>
      <w:marTop w:val="0"/>
      <w:marBottom w:val="0"/>
      <w:divBdr>
        <w:top w:val="none" w:sz="0" w:space="0" w:color="auto"/>
        <w:left w:val="none" w:sz="0" w:space="0" w:color="auto"/>
        <w:bottom w:val="none" w:sz="0" w:space="0" w:color="auto"/>
        <w:right w:val="none" w:sz="0" w:space="0" w:color="auto"/>
      </w:divBdr>
    </w:div>
    <w:div w:id="467164667">
      <w:bodyDiv w:val="1"/>
      <w:marLeft w:val="0"/>
      <w:marRight w:val="0"/>
      <w:marTop w:val="0"/>
      <w:marBottom w:val="0"/>
      <w:divBdr>
        <w:top w:val="none" w:sz="0" w:space="0" w:color="auto"/>
        <w:left w:val="none" w:sz="0" w:space="0" w:color="auto"/>
        <w:bottom w:val="none" w:sz="0" w:space="0" w:color="auto"/>
        <w:right w:val="none" w:sz="0" w:space="0" w:color="auto"/>
      </w:divBdr>
    </w:div>
    <w:div w:id="676931764">
      <w:bodyDiv w:val="1"/>
      <w:marLeft w:val="0"/>
      <w:marRight w:val="0"/>
      <w:marTop w:val="0"/>
      <w:marBottom w:val="0"/>
      <w:divBdr>
        <w:top w:val="none" w:sz="0" w:space="0" w:color="auto"/>
        <w:left w:val="none" w:sz="0" w:space="0" w:color="auto"/>
        <w:bottom w:val="none" w:sz="0" w:space="0" w:color="auto"/>
        <w:right w:val="none" w:sz="0" w:space="0" w:color="auto"/>
      </w:divBdr>
    </w:div>
    <w:div w:id="824861161">
      <w:bodyDiv w:val="1"/>
      <w:marLeft w:val="0"/>
      <w:marRight w:val="0"/>
      <w:marTop w:val="0"/>
      <w:marBottom w:val="0"/>
      <w:divBdr>
        <w:top w:val="none" w:sz="0" w:space="0" w:color="auto"/>
        <w:left w:val="none" w:sz="0" w:space="0" w:color="auto"/>
        <w:bottom w:val="none" w:sz="0" w:space="0" w:color="auto"/>
        <w:right w:val="none" w:sz="0" w:space="0" w:color="auto"/>
      </w:divBdr>
    </w:div>
    <w:div w:id="840006195">
      <w:bodyDiv w:val="1"/>
      <w:marLeft w:val="0"/>
      <w:marRight w:val="0"/>
      <w:marTop w:val="0"/>
      <w:marBottom w:val="0"/>
      <w:divBdr>
        <w:top w:val="none" w:sz="0" w:space="0" w:color="auto"/>
        <w:left w:val="none" w:sz="0" w:space="0" w:color="auto"/>
        <w:bottom w:val="none" w:sz="0" w:space="0" w:color="auto"/>
        <w:right w:val="none" w:sz="0" w:space="0" w:color="auto"/>
      </w:divBdr>
    </w:div>
    <w:div w:id="855387332">
      <w:bodyDiv w:val="1"/>
      <w:marLeft w:val="0"/>
      <w:marRight w:val="0"/>
      <w:marTop w:val="0"/>
      <w:marBottom w:val="0"/>
      <w:divBdr>
        <w:top w:val="none" w:sz="0" w:space="0" w:color="auto"/>
        <w:left w:val="none" w:sz="0" w:space="0" w:color="auto"/>
        <w:bottom w:val="none" w:sz="0" w:space="0" w:color="auto"/>
        <w:right w:val="none" w:sz="0" w:space="0" w:color="auto"/>
      </w:divBdr>
    </w:div>
    <w:div w:id="913852016">
      <w:bodyDiv w:val="1"/>
      <w:marLeft w:val="0"/>
      <w:marRight w:val="0"/>
      <w:marTop w:val="0"/>
      <w:marBottom w:val="0"/>
      <w:divBdr>
        <w:top w:val="none" w:sz="0" w:space="0" w:color="auto"/>
        <w:left w:val="none" w:sz="0" w:space="0" w:color="auto"/>
        <w:bottom w:val="none" w:sz="0" w:space="0" w:color="auto"/>
        <w:right w:val="none" w:sz="0" w:space="0" w:color="auto"/>
      </w:divBdr>
    </w:div>
    <w:div w:id="1248811862">
      <w:bodyDiv w:val="1"/>
      <w:marLeft w:val="0"/>
      <w:marRight w:val="0"/>
      <w:marTop w:val="0"/>
      <w:marBottom w:val="0"/>
      <w:divBdr>
        <w:top w:val="none" w:sz="0" w:space="0" w:color="auto"/>
        <w:left w:val="none" w:sz="0" w:space="0" w:color="auto"/>
        <w:bottom w:val="none" w:sz="0" w:space="0" w:color="auto"/>
        <w:right w:val="none" w:sz="0" w:space="0" w:color="auto"/>
      </w:divBdr>
    </w:div>
    <w:div w:id="1261062553">
      <w:bodyDiv w:val="1"/>
      <w:marLeft w:val="0"/>
      <w:marRight w:val="0"/>
      <w:marTop w:val="0"/>
      <w:marBottom w:val="0"/>
      <w:divBdr>
        <w:top w:val="none" w:sz="0" w:space="0" w:color="auto"/>
        <w:left w:val="none" w:sz="0" w:space="0" w:color="auto"/>
        <w:bottom w:val="none" w:sz="0" w:space="0" w:color="auto"/>
        <w:right w:val="none" w:sz="0" w:space="0" w:color="auto"/>
      </w:divBdr>
    </w:div>
    <w:div w:id="1288506661">
      <w:bodyDiv w:val="1"/>
      <w:marLeft w:val="0"/>
      <w:marRight w:val="0"/>
      <w:marTop w:val="0"/>
      <w:marBottom w:val="0"/>
      <w:divBdr>
        <w:top w:val="none" w:sz="0" w:space="0" w:color="auto"/>
        <w:left w:val="none" w:sz="0" w:space="0" w:color="auto"/>
        <w:bottom w:val="none" w:sz="0" w:space="0" w:color="auto"/>
        <w:right w:val="none" w:sz="0" w:space="0" w:color="auto"/>
      </w:divBdr>
    </w:div>
    <w:div w:id="1331761394">
      <w:bodyDiv w:val="1"/>
      <w:marLeft w:val="0"/>
      <w:marRight w:val="0"/>
      <w:marTop w:val="0"/>
      <w:marBottom w:val="0"/>
      <w:divBdr>
        <w:top w:val="none" w:sz="0" w:space="0" w:color="auto"/>
        <w:left w:val="none" w:sz="0" w:space="0" w:color="auto"/>
        <w:bottom w:val="none" w:sz="0" w:space="0" w:color="auto"/>
        <w:right w:val="none" w:sz="0" w:space="0" w:color="auto"/>
      </w:divBdr>
    </w:div>
    <w:div w:id="1356617605">
      <w:bodyDiv w:val="1"/>
      <w:marLeft w:val="0"/>
      <w:marRight w:val="0"/>
      <w:marTop w:val="0"/>
      <w:marBottom w:val="0"/>
      <w:divBdr>
        <w:top w:val="none" w:sz="0" w:space="0" w:color="auto"/>
        <w:left w:val="none" w:sz="0" w:space="0" w:color="auto"/>
        <w:bottom w:val="none" w:sz="0" w:space="0" w:color="auto"/>
        <w:right w:val="none" w:sz="0" w:space="0" w:color="auto"/>
      </w:divBdr>
    </w:div>
    <w:div w:id="1527869191">
      <w:bodyDiv w:val="1"/>
      <w:marLeft w:val="0"/>
      <w:marRight w:val="0"/>
      <w:marTop w:val="0"/>
      <w:marBottom w:val="0"/>
      <w:divBdr>
        <w:top w:val="none" w:sz="0" w:space="0" w:color="auto"/>
        <w:left w:val="none" w:sz="0" w:space="0" w:color="auto"/>
        <w:bottom w:val="none" w:sz="0" w:space="0" w:color="auto"/>
        <w:right w:val="none" w:sz="0" w:space="0" w:color="auto"/>
      </w:divBdr>
    </w:div>
    <w:div w:id="1603149935">
      <w:bodyDiv w:val="1"/>
      <w:marLeft w:val="0"/>
      <w:marRight w:val="0"/>
      <w:marTop w:val="0"/>
      <w:marBottom w:val="0"/>
      <w:divBdr>
        <w:top w:val="none" w:sz="0" w:space="0" w:color="auto"/>
        <w:left w:val="none" w:sz="0" w:space="0" w:color="auto"/>
        <w:bottom w:val="none" w:sz="0" w:space="0" w:color="auto"/>
        <w:right w:val="none" w:sz="0" w:space="0" w:color="auto"/>
      </w:divBdr>
    </w:div>
    <w:div w:id="1732533883">
      <w:bodyDiv w:val="1"/>
      <w:marLeft w:val="0"/>
      <w:marRight w:val="0"/>
      <w:marTop w:val="0"/>
      <w:marBottom w:val="0"/>
      <w:divBdr>
        <w:top w:val="none" w:sz="0" w:space="0" w:color="auto"/>
        <w:left w:val="none" w:sz="0" w:space="0" w:color="auto"/>
        <w:bottom w:val="none" w:sz="0" w:space="0" w:color="auto"/>
        <w:right w:val="none" w:sz="0" w:space="0" w:color="auto"/>
      </w:divBdr>
    </w:div>
    <w:div w:id="1754889077">
      <w:bodyDiv w:val="1"/>
      <w:marLeft w:val="0"/>
      <w:marRight w:val="0"/>
      <w:marTop w:val="0"/>
      <w:marBottom w:val="0"/>
      <w:divBdr>
        <w:top w:val="none" w:sz="0" w:space="0" w:color="auto"/>
        <w:left w:val="none" w:sz="0" w:space="0" w:color="auto"/>
        <w:bottom w:val="none" w:sz="0" w:space="0" w:color="auto"/>
        <w:right w:val="none" w:sz="0" w:space="0" w:color="auto"/>
      </w:divBdr>
    </w:div>
    <w:div w:id="1779326048">
      <w:bodyDiv w:val="1"/>
      <w:marLeft w:val="0"/>
      <w:marRight w:val="0"/>
      <w:marTop w:val="0"/>
      <w:marBottom w:val="0"/>
      <w:divBdr>
        <w:top w:val="none" w:sz="0" w:space="0" w:color="auto"/>
        <w:left w:val="none" w:sz="0" w:space="0" w:color="auto"/>
        <w:bottom w:val="none" w:sz="0" w:space="0" w:color="auto"/>
        <w:right w:val="none" w:sz="0" w:space="0" w:color="auto"/>
      </w:divBdr>
    </w:div>
    <w:div w:id="1789811388">
      <w:bodyDiv w:val="1"/>
      <w:marLeft w:val="0"/>
      <w:marRight w:val="0"/>
      <w:marTop w:val="0"/>
      <w:marBottom w:val="0"/>
      <w:divBdr>
        <w:top w:val="none" w:sz="0" w:space="0" w:color="auto"/>
        <w:left w:val="none" w:sz="0" w:space="0" w:color="auto"/>
        <w:bottom w:val="none" w:sz="0" w:space="0" w:color="auto"/>
        <w:right w:val="none" w:sz="0" w:space="0" w:color="auto"/>
      </w:divBdr>
    </w:div>
    <w:div w:id="1856654487">
      <w:bodyDiv w:val="1"/>
      <w:marLeft w:val="0"/>
      <w:marRight w:val="0"/>
      <w:marTop w:val="0"/>
      <w:marBottom w:val="0"/>
      <w:divBdr>
        <w:top w:val="none" w:sz="0" w:space="0" w:color="auto"/>
        <w:left w:val="none" w:sz="0" w:space="0" w:color="auto"/>
        <w:bottom w:val="none" w:sz="0" w:space="0" w:color="auto"/>
        <w:right w:val="none" w:sz="0" w:space="0" w:color="auto"/>
      </w:divBdr>
    </w:div>
    <w:div w:id="1865097214">
      <w:bodyDiv w:val="1"/>
      <w:marLeft w:val="0"/>
      <w:marRight w:val="0"/>
      <w:marTop w:val="0"/>
      <w:marBottom w:val="0"/>
      <w:divBdr>
        <w:top w:val="none" w:sz="0" w:space="0" w:color="auto"/>
        <w:left w:val="none" w:sz="0" w:space="0" w:color="auto"/>
        <w:bottom w:val="none" w:sz="0" w:space="0" w:color="auto"/>
        <w:right w:val="none" w:sz="0" w:space="0" w:color="auto"/>
      </w:divBdr>
    </w:div>
    <w:div w:id="1894266288">
      <w:bodyDiv w:val="1"/>
      <w:marLeft w:val="0"/>
      <w:marRight w:val="0"/>
      <w:marTop w:val="0"/>
      <w:marBottom w:val="0"/>
      <w:divBdr>
        <w:top w:val="none" w:sz="0" w:space="0" w:color="auto"/>
        <w:left w:val="none" w:sz="0" w:space="0" w:color="auto"/>
        <w:bottom w:val="none" w:sz="0" w:space="0" w:color="auto"/>
        <w:right w:val="none" w:sz="0" w:space="0" w:color="auto"/>
      </w:divBdr>
    </w:div>
    <w:div w:id="1911192135">
      <w:bodyDiv w:val="1"/>
      <w:marLeft w:val="0"/>
      <w:marRight w:val="0"/>
      <w:marTop w:val="0"/>
      <w:marBottom w:val="0"/>
      <w:divBdr>
        <w:top w:val="none" w:sz="0" w:space="0" w:color="auto"/>
        <w:left w:val="none" w:sz="0" w:space="0" w:color="auto"/>
        <w:bottom w:val="none" w:sz="0" w:space="0" w:color="auto"/>
        <w:right w:val="none" w:sz="0" w:space="0" w:color="auto"/>
      </w:divBdr>
    </w:div>
    <w:div w:id="1970823060">
      <w:bodyDiv w:val="1"/>
      <w:marLeft w:val="0"/>
      <w:marRight w:val="0"/>
      <w:marTop w:val="0"/>
      <w:marBottom w:val="0"/>
      <w:divBdr>
        <w:top w:val="none" w:sz="0" w:space="0" w:color="auto"/>
        <w:left w:val="none" w:sz="0" w:space="0" w:color="auto"/>
        <w:bottom w:val="none" w:sz="0" w:space="0" w:color="auto"/>
        <w:right w:val="none" w:sz="0" w:space="0" w:color="auto"/>
      </w:divBdr>
    </w:div>
    <w:div w:id="2005695248">
      <w:bodyDiv w:val="1"/>
      <w:marLeft w:val="0"/>
      <w:marRight w:val="0"/>
      <w:marTop w:val="0"/>
      <w:marBottom w:val="0"/>
      <w:divBdr>
        <w:top w:val="none" w:sz="0" w:space="0" w:color="auto"/>
        <w:left w:val="none" w:sz="0" w:space="0" w:color="auto"/>
        <w:bottom w:val="none" w:sz="0" w:space="0" w:color="auto"/>
        <w:right w:val="none" w:sz="0" w:space="0" w:color="auto"/>
      </w:divBdr>
    </w:div>
    <w:div w:id="2012176823">
      <w:bodyDiv w:val="1"/>
      <w:marLeft w:val="0"/>
      <w:marRight w:val="0"/>
      <w:marTop w:val="0"/>
      <w:marBottom w:val="0"/>
      <w:divBdr>
        <w:top w:val="none" w:sz="0" w:space="0" w:color="auto"/>
        <w:left w:val="none" w:sz="0" w:space="0" w:color="auto"/>
        <w:bottom w:val="none" w:sz="0" w:space="0" w:color="auto"/>
        <w:right w:val="none" w:sz="0" w:space="0" w:color="auto"/>
      </w:divBdr>
    </w:div>
    <w:div w:id="2036997934">
      <w:bodyDiv w:val="1"/>
      <w:marLeft w:val="0"/>
      <w:marRight w:val="0"/>
      <w:marTop w:val="0"/>
      <w:marBottom w:val="0"/>
      <w:divBdr>
        <w:top w:val="none" w:sz="0" w:space="0" w:color="auto"/>
        <w:left w:val="none" w:sz="0" w:space="0" w:color="auto"/>
        <w:bottom w:val="none" w:sz="0" w:space="0" w:color="auto"/>
        <w:right w:val="none" w:sz="0" w:space="0" w:color="auto"/>
      </w:divBdr>
    </w:div>
    <w:div w:id="20970900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yperlink" Target="https://www.rightsnet.org.uk/forums/viewthread/5928" TargetMode="External"/><Relationship Id="rId15" Type="http://schemas.openxmlformats.org/officeDocument/2006/relationships/image" Target="media/image6.pn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Kelly@nawra.org.uk"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312</TotalTime>
  <Pages>13</Pages>
  <Words>3352</Words>
  <Characters>19111</Characters>
  <Application>Microsoft Macintosh Word</Application>
  <DocSecurity>0</DocSecurity>
  <Lines>159</Lines>
  <Paragraphs>44</Paragraphs>
  <ScaleCrop>false</ScaleCrop>
  <Company/>
  <LinksUpToDate>false</LinksUpToDate>
  <CharactersWithSpaces>22419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dc:creator>
  <cp:keywords/>
  <dc:description/>
  <cp:lastModifiedBy>Henry</cp:lastModifiedBy>
  <cp:revision>62</cp:revision>
  <cp:lastPrinted>2018-05-12T17:12:00Z</cp:lastPrinted>
  <dcterms:created xsi:type="dcterms:W3CDTF">2018-05-09T09:01:00Z</dcterms:created>
  <dcterms:modified xsi:type="dcterms:W3CDTF">2018-05-14T14:07:00Z</dcterms:modified>
</cp:coreProperties>
</file>