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19C3F" w14:textId="77777777" w:rsidR="000B31C5" w:rsidRPr="003926CE" w:rsidRDefault="000B31C5" w:rsidP="00CB3012">
      <w:pPr>
        <w:spacing w:after="0" w:line="240" w:lineRule="auto"/>
        <w:jc w:val="center"/>
        <w:rPr>
          <w:rFonts w:ascii="Arial" w:hAnsi="Arial" w:cs="Arial"/>
          <w:sz w:val="24"/>
          <w:szCs w:val="24"/>
          <w:u w:val="single"/>
        </w:rPr>
      </w:pPr>
      <w:bookmarkStart w:id="0" w:name="_GoBack"/>
      <w:bookmarkEnd w:id="0"/>
      <w:r w:rsidRPr="003926CE">
        <w:rPr>
          <w:rFonts w:ascii="Arial" w:hAnsi="Arial" w:cs="Arial"/>
          <w:sz w:val="24"/>
          <w:szCs w:val="24"/>
          <w:u w:val="single"/>
        </w:rPr>
        <w:t xml:space="preserve">Severe </w:t>
      </w:r>
      <w:r w:rsidR="001258B1" w:rsidRPr="003926CE">
        <w:rPr>
          <w:rFonts w:ascii="Arial" w:hAnsi="Arial" w:cs="Arial"/>
          <w:sz w:val="24"/>
          <w:szCs w:val="24"/>
          <w:u w:val="single"/>
        </w:rPr>
        <w:t>C</w:t>
      </w:r>
      <w:r w:rsidRPr="003926CE">
        <w:rPr>
          <w:rFonts w:ascii="Arial" w:hAnsi="Arial" w:cs="Arial"/>
          <w:sz w:val="24"/>
          <w:szCs w:val="24"/>
          <w:u w:val="single"/>
        </w:rPr>
        <w:t xml:space="preserve">onditions </w:t>
      </w:r>
      <w:r w:rsidR="001258B1" w:rsidRPr="003926CE">
        <w:rPr>
          <w:rFonts w:ascii="Arial" w:hAnsi="Arial" w:cs="Arial"/>
          <w:sz w:val="24"/>
          <w:szCs w:val="24"/>
          <w:u w:val="single"/>
        </w:rPr>
        <w:t>G</w:t>
      </w:r>
      <w:r w:rsidRPr="003926CE">
        <w:rPr>
          <w:rFonts w:ascii="Arial" w:hAnsi="Arial" w:cs="Arial"/>
          <w:sz w:val="24"/>
          <w:szCs w:val="24"/>
          <w:u w:val="single"/>
        </w:rPr>
        <w:t>uidance</w:t>
      </w:r>
    </w:p>
    <w:p w14:paraId="2483F527" w14:textId="77777777" w:rsidR="000B31C5" w:rsidRPr="003926CE" w:rsidRDefault="00A34888" w:rsidP="00275FF4">
      <w:pPr>
        <w:tabs>
          <w:tab w:val="left" w:pos="2303"/>
        </w:tabs>
        <w:spacing w:after="0" w:line="240" w:lineRule="auto"/>
        <w:rPr>
          <w:rFonts w:ascii="Arial" w:hAnsi="Arial" w:cs="Arial"/>
          <w:sz w:val="24"/>
          <w:szCs w:val="24"/>
        </w:rPr>
      </w:pPr>
      <w:r w:rsidRPr="003926CE">
        <w:rPr>
          <w:rFonts w:ascii="Arial" w:hAnsi="Arial" w:cs="Arial"/>
          <w:sz w:val="24"/>
          <w:szCs w:val="24"/>
        </w:rPr>
        <w:tab/>
      </w:r>
    </w:p>
    <w:p w14:paraId="7560B1F4" w14:textId="77777777" w:rsidR="00C92D83" w:rsidRPr="003926CE" w:rsidRDefault="00C92D83" w:rsidP="00CB3012">
      <w:pPr>
        <w:spacing w:after="0" w:line="240" w:lineRule="auto"/>
        <w:rPr>
          <w:rFonts w:ascii="Arial" w:hAnsi="Arial" w:cs="Arial"/>
          <w:sz w:val="24"/>
          <w:szCs w:val="24"/>
        </w:rPr>
      </w:pPr>
    </w:p>
    <w:p w14:paraId="1997E736" w14:textId="77777777" w:rsidR="00E235FA" w:rsidRPr="003926CE" w:rsidRDefault="00563E9D" w:rsidP="00275FF4">
      <w:pPr>
        <w:pStyle w:val="Style1"/>
      </w:pPr>
      <w:r w:rsidRPr="003926CE">
        <w:t>Under the LCW/LCWRA clinical</w:t>
      </w:r>
      <w:r w:rsidR="000B31C5" w:rsidRPr="003926CE">
        <w:t xml:space="preserve"> procedures H</w:t>
      </w:r>
      <w:r w:rsidR="00E62503" w:rsidRPr="003926CE">
        <w:t xml:space="preserve">ealthcare </w:t>
      </w:r>
      <w:r w:rsidR="000B31C5" w:rsidRPr="003926CE">
        <w:t>P</w:t>
      </w:r>
      <w:r w:rsidR="00E62503" w:rsidRPr="003926CE">
        <w:t>rofessionals (HCP)</w:t>
      </w:r>
      <w:r w:rsidR="000B31C5" w:rsidRPr="003926CE">
        <w:t xml:space="preserve"> are required to </w:t>
      </w:r>
      <w:r w:rsidR="00E62503" w:rsidRPr="003926CE">
        <w:t>provide</w:t>
      </w:r>
      <w:r w:rsidR="000B31C5" w:rsidRPr="003926CE">
        <w:t xml:space="preserve"> advice on </w:t>
      </w:r>
      <w:r w:rsidR="00E235FA" w:rsidRPr="003926CE">
        <w:t xml:space="preserve">the re-referral period or prognosis as part of an assessment. </w:t>
      </w:r>
    </w:p>
    <w:p w14:paraId="738DC8F9" w14:textId="77777777" w:rsidR="00CB3012" w:rsidRPr="003926CE" w:rsidRDefault="00CB3012" w:rsidP="001258B1">
      <w:pPr>
        <w:pStyle w:val="Style1"/>
        <w:numPr>
          <w:ilvl w:val="0"/>
          <w:numId w:val="0"/>
        </w:numPr>
      </w:pPr>
    </w:p>
    <w:p w14:paraId="2163E7CD" w14:textId="77777777" w:rsidR="00CB3012" w:rsidRPr="003926CE" w:rsidRDefault="00CB3012" w:rsidP="00275FF4">
      <w:pPr>
        <w:pStyle w:val="Style1"/>
      </w:pPr>
      <w:r w:rsidRPr="003926CE">
        <w:t>When considering prognosis or re-referral period, the HCP has to consider whether the condition or its functional effects are likely to improve. This may be due to the natural resolution of the condition, or improvement with treatment, with adaptation or with the use of appropriate aids and appliances.</w:t>
      </w:r>
    </w:p>
    <w:p w14:paraId="10C07A51" w14:textId="77777777" w:rsidR="00CB3012" w:rsidRPr="003926CE" w:rsidRDefault="00CB3012" w:rsidP="00275FF4">
      <w:pPr>
        <w:pStyle w:val="Style1"/>
        <w:numPr>
          <w:ilvl w:val="0"/>
          <w:numId w:val="0"/>
        </w:numPr>
        <w:ind w:left="360"/>
      </w:pPr>
    </w:p>
    <w:p w14:paraId="43213CE8" w14:textId="77777777" w:rsidR="00CB3012" w:rsidRPr="003926CE" w:rsidRDefault="00CB3012" w:rsidP="00275FF4">
      <w:pPr>
        <w:pStyle w:val="Style1"/>
      </w:pPr>
      <w:r w:rsidRPr="003926CE">
        <w:t xml:space="preserve">The approved HCP should provide this advice based upon their assessment of the claimant, their knowledge of the natural progression of the identified medical conditions, and the time they feel a claimant may need to adapt to their condition. </w:t>
      </w:r>
    </w:p>
    <w:p w14:paraId="6D2A750F" w14:textId="77777777" w:rsidR="00CB3012" w:rsidRPr="003926CE" w:rsidRDefault="00CB3012" w:rsidP="00275FF4">
      <w:pPr>
        <w:pStyle w:val="Style1"/>
        <w:numPr>
          <w:ilvl w:val="0"/>
          <w:numId w:val="0"/>
        </w:numPr>
        <w:ind w:left="360"/>
      </w:pPr>
    </w:p>
    <w:p w14:paraId="10D9A60E" w14:textId="0A561DBD" w:rsidR="000B31C5" w:rsidRPr="0090476B" w:rsidRDefault="00563E9D" w:rsidP="00275FF4">
      <w:pPr>
        <w:pStyle w:val="Style1"/>
      </w:pPr>
      <w:r w:rsidRPr="003926CE">
        <w:t>HCPs currently are able to provide reassessment advice for 3, 6, 12</w:t>
      </w:r>
      <w:r w:rsidR="00C42B1D" w:rsidRPr="003926CE">
        <w:t xml:space="preserve">, </w:t>
      </w:r>
      <w:proofErr w:type="gramStart"/>
      <w:r w:rsidR="00C42B1D" w:rsidRPr="003926CE">
        <w:t>18</w:t>
      </w:r>
      <w:proofErr w:type="gramEnd"/>
      <w:r w:rsidRPr="003926CE">
        <w:t>, 24 months</w:t>
      </w:r>
      <w:r w:rsidR="00E62503" w:rsidRPr="003926CE">
        <w:t xml:space="preserve"> or ‘in the longer term’. In practice DWP policy meant that where a re-referral period of ‘in the </w:t>
      </w:r>
      <w:r w:rsidR="00E62503" w:rsidRPr="0090476B">
        <w:t>longer term’ had been agreed by a DWP Decision Maker, the claimant be re-referred for a further WCA in 3 years</w:t>
      </w:r>
      <w:r w:rsidR="00C92D83" w:rsidRPr="0090476B">
        <w:t xml:space="preserve"> if in the Support Group, or 2 years in the Work-Related Activity Group</w:t>
      </w:r>
      <w:r w:rsidR="00DD1C14" w:rsidRPr="0090476B">
        <w:t>, and the equivalent Universal Credit (UC) groups.</w:t>
      </w:r>
      <w:r w:rsidR="000B31C5" w:rsidRPr="0090476B">
        <w:t xml:space="preserve"> </w:t>
      </w:r>
    </w:p>
    <w:p w14:paraId="08C42641" w14:textId="77777777" w:rsidR="000B31C5" w:rsidRPr="0090476B" w:rsidRDefault="000B31C5" w:rsidP="00275FF4">
      <w:pPr>
        <w:pStyle w:val="Style1"/>
        <w:numPr>
          <w:ilvl w:val="0"/>
          <w:numId w:val="0"/>
        </w:numPr>
        <w:ind w:left="360"/>
      </w:pPr>
    </w:p>
    <w:p w14:paraId="67FC43CF" w14:textId="77777777" w:rsidR="000B31C5" w:rsidRPr="0090476B" w:rsidRDefault="00E62503" w:rsidP="00275FF4">
      <w:pPr>
        <w:pStyle w:val="Style1"/>
        <w:rPr>
          <w:rFonts w:eastAsiaTheme="minorEastAsia"/>
          <w:color w:val="000000" w:themeColor="text1"/>
          <w:kern w:val="24"/>
          <w:lang w:val="en-US"/>
        </w:rPr>
      </w:pPr>
      <w:r w:rsidRPr="0090476B">
        <w:rPr>
          <w:rFonts w:eastAsiaTheme="minorEastAsia"/>
          <w:color w:val="000000" w:themeColor="text1"/>
          <w:kern w:val="24"/>
          <w:lang w:val="en-US"/>
        </w:rPr>
        <w:t>However, there is an acceptance that this approach does not work for all claimants. There will be a small number of those for whom their healt</w:t>
      </w:r>
      <w:r w:rsidR="00CB3012" w:rsidRPr="0090476B">
        <w:rPr>
          <w:rFonts w:eastAsiaTheme="minorEastAsia"/>
          <w:color w:val="000000" w:themeColor="text1"/>
          <w:kern w:val="24"/>
          <w:lang w:val="en-US"/>
        </w:rPr>
        <w:t>h condition or disability is such that there can be no</w:t>
      </w:r>
      <w:r w:rsidR="00563E9D" w:rsidRPr="0090476B">
        <w:rPr>
          <w:rFonts w:eastAsiaTheme="minorEastAsia"/>
          <w:color w:val="000000" w:themeColor="text1"/>
          <w:kern w:val="24"/>
          <w:lang w:val="en-US"/>
        </w:rPr>
        <w:t xml:space="preserve"> realistic</w:t>
      </w:r>
      <w:r w:rsidR="00CB3012" w:rsidRPr="0090476B">
        <w:rPr>
          <w:rFonts w:eastAsiaTheme="minorEastAsia"/>
          <w:color w:val="000000" w:themeColor="text1"/>
          <w:kern w:val="24"/>
          <w:lang w:val="en-US"/>
        </w:rPr>
        <w:t xml:space="preserve"> expectation that they would move towards work or take part in work-related activity at any point in the future. To that end</w:t>
      </w:r>
      <w:r w:rsidR="00275FF4" w:rsidRPr="0090476B">
        <w:rPr>
          <w:rFonts w:eastAsiaTheme="minorEastAsia"/>
          <w:color w:val="000000" w:themeColor="text1"/>
          <w:kern w:val="24"/>
          <w:lang w:val="en-US"/>
        </w:rPr>
        <w:t>,</w:t>
      </w:r>
      <w:r w:rsidR="00CB3012" w:rsidRPr="0090476B">
        <w:rPr>
          <w:rFonts w:eastAsiaTheme="minorEastAsia"/>
          <w:color w:val="000000" w:themeColor="text1"/>
          <w:kern w:val="24"/>
          <w:lang w:val="en-US"/>
        </w:rPr>
        <w:t xml:space="preserve"> in </w:t>
      </w:r>
      <w:r w:rsidR="000B31C5" w:rsidRPr="0090476B">
        <w:rPr>
          <w:rFonts w:eastAsiaTheme="minorEastAsia"/>
          <w:color w:val="000000" w:themeColor="text1"/>
          <w:kern w:val="24"/>
          <w:lang w:val="en-US"/>
        </w:rPr>
        <w:t xml:space="preserve">October 2016, </w:t>
      </w:r>
      <w:r w:rsidR="00275FF4" w:rsidRPr="0090476B">
        <w:rPr>
          <w:rFonts w:eastAsiaTheme="minorEastAsia"/>
          <w:color w:val="000000" w:themeColor="text1"/>
          <w:kern w:val="24"/>
          <w:lang w:val="en-US"/>
        </w:rPr>
        <w:t xml:space="preserve">the </w:t>
      </w:r>
      <w:r w:rsidR="000B31C5" w:rsidRPr="0090476B">
        <w:rPr>
          <w:rFonts w:eastAsiaTheme="minorEastAsia"/>
          <w:color w:val="000000" w:themeColor="text1"/>
          <w:kern w:val="24"/>
          <w:lang w:val="en-US"/>
        </w:rPr>
        <w:t xml:space="preserve">Secretary of State announced that the Department would stop reassessments for claimants </w:t>
      </w:r>
      <w:r w:rsidR="00007F43" w:rsidRPr="0090476B">
        <w:rPr>
          <w:rFonts w:eastAsiaTheme="minorEastAsia"/>
          <w:color w:val="000000" w:themeColor="text1"/>
          <w:kern w:val="24"/>
          <w:lang w:val="en-US"/>
        </w:rPr>
        <w:t>in the</w:t>
      </w:r>
      <w:r w:rsidR="001B4A97" w:rsidRPr="0090476B">
        <w:rPr>
          <w:rFonts w:eastAsiaTheme="minorEastAsia"/>
          <w:color w:val="000000" w:themeColor="text1"/>
          <w:kern w:val="24"/>
          <w:lang w:val="en-US"/>
        </w:rPr>
        <w:t xml:space="preserve"> ESA</w:t>
      </w:r>
      <w:r w:rsidR="00007F43" w:rsidRPr="0090476B">
        <w:rPr>
          <w:rFonts w:eastAsiaTheme="minorEastAsia"/>
          <w:color w:val="000000" w:themeColor="text1"/>
          <w:kern w:val="24"/>
          <w:lang w:val="en-US"/>
        </w:rPr>
        <w:t xml:space="preserve"> Support Group</w:t>
      </w:r>
      <w:r w:rsidR="001B4A97" w:rsidRPr="0090476B">
        <w:rPr>
          <w:rFonts w:eastAsiaTheme="minorEastAsia"/>
          <w:color w:val="000000" w:themeColor="text1"/>
          <w:kern w:val="24"/>
          <w:lang w:val="en-US"/>
        </w:rPr>
        <w:t>/UC LCWRA Group</w:t>
      </w:r>
      <w:r w:rsidR="00007F43" w:rsidRPr="0090476B">
        <w:rPr>
          <w:rFonts w:eastAsiaTheme="minorEastAsia"/>
          <w:color w:val="000000" w:themeColor="text1"/>
          <w:kern w:val="24"/>
          <w:lang w:val="en-US"/>
        </w:rPr>
        <w:t xml:space="preserve"> (</w:t>
      </w:r>
      <w:r w:rsidR="00275FF4" w:rsidRPr="0090476B">
        <w:rPr>
          <w:rFonts w:eastAsiaTheme="minorEastAsia"/>
          <w:color w:val="000000" w:themeColor="text1"/>
          <w:kern w:val="24"/>
          <w:lang w:val="en-US"/>
        </w:rPr>
        <w:t xml:space="preserve">those with </w:t>
      </w:r>
      <w:r w:rsidR="00007F43" w:rsidRPr="0090476B">
        <w:rPr>
          <w:rFonts w:eastAsiaTheme="minorEastAsia"/>
          <w:color w:val="000000" w:themeColor="text1"/>
          <w:kern w:val="24"/>
          <w:lang w:val="en-US"/>
        </w:rPr>
        <w:t xml:space="preserve">Limited Capability for Work-Related Activity) </w:t>
      </w:r>
      <w:r w:rsidR="000B31C5" w:rsidRPr="0090476B">
        <w:rPr>
          <w:rFonts w:eastAsiaTheme="minorEastAsia"/>
          <w:color w:val="000000" w:themeColor="text1"/>
          <w:kern w:val="24"/>
          <w:lang w:val="en-US"/>
        </w:rPr>
        <w:t>with the most severe and lifelong health conditions or disabilities</w:t>
      </w:r>
      <w:r w:rsidR="00275FF4" w:rsidRPr="0090476B">
        <w:rPr>
          <w:rFonts w:eastAsiaTheme="minorEastAsia"/>
          <w:color w:val="000000" w:themeColor="text1"/>
          <w:kern w:val="24"/>
          <w:lang w:val="en-US"/>
        </w:rPr>
        <w:t xml:space="preserve"> for whom reassessments are likely to provide no further new information</w:t>
      </w:r>
      <w:r w:rsidR="000B31C5" w:rsidRPr="0090476B">
        <w:rPr>
          <w:rFonts w:eastAsiaTheme="minorEastAsia"/>
          <w:color w:val="000000" w:themeColor="text1"/>
          <w:kern w:val="24"/>
          <w:lang w:val="en-US"/>
        </w:rPr>
        <w:t>.</w:t>
      </w:r>
    </w:p>
    <w:p w14:paraId="53C23EE1" w14:textId="77777777" w:rsidR="001258B1" w:rsidRPr="0090476B" w:rsidRDefault="001258B1" w:rsidP="001258B1">
      <w:pPr>
        <w:pStyle w:val="ListParagraph"/>
        <w:rPr>
          <w:rFonts w:ascii="Arial" w:eastAsiaTheme="minorEastAsia" w:hAnsi="Arial" w:cs="Arial"/>
          <w:color w:val="000000" w:themeColor="text1"/>
          <w:kern w:val="24"/>
          <w:lang w:val="en-US"/>
        </w:rPr>
      </w:pPr>
    </w:p>
    <w:p w14:paraId="5DF3200B" w14:textId="77777777" w:rsidR="001258B1" w:rsidRPr="0090476B" w:rsidRDefault="001258B1" w:rsidP="00275FF4">
      <w:pPr>
        <w:pStyle w:val="Style1"/>
        <w:rPr>
          <w:rFonts w:eastAsiaTheme="minorEastAsia"/>
          <w:color w:val="000000" w:themeColor="text1"/>
          <w:kern w:val="24"/>
          <w:lang w:val="en-US"/>
        </w:rPr>
      </w:pPr>
      <w:r w:rsidRPr="0090476B">
        <w:rPr>
          <w:rFonts w:eastAsiaTheme="minorEastAsia"/>
          <w:color w:val="000000" w:themeColor="text1"/>
          <w:kern w:val="24"/>
          <w:lang w:val="en-US"/>
        </w:rPr>
        <w:t>The new re-referral period will apply</w:t>
      </w:r>
      <w:r w:rsidR="00200397" w:rsidRPr="0090476B">
        <w:rPr>
          <w:rFonts w:eastAsiaTheme="minorEastAsia"/>
          <w:color w:val="000000" w:themeColor="text1"/>
          <w:kern w:val="24"/>
          <w:lang w:val="en-US"/>
        </w:rPr>
        <w:t xml:space="preserve"> to</w:t>
      </w:r>
      <w:r w:rsidRPr="0090476B">
        <w:rPr>
          <w:rFonts w:eastAsiaTheme="minorEastAsia"/>
          <w:color w:val="000000" w:themeColor="text1"/>
          <w:kern w:val="24"/>
          <w:lang w:val="en-US"/>
        </w:rPr>
        <w:t xml:space="preserve"> those with </w:t>
      </w:r>
      <w:r w:rsidRPr="0090476B">
        <w:rPr>
          <w:rFonts w:eastAsiaTheme="minorEastAsia"/>
          <w:color w:val="000000" w:themeColor="text1"/>
          <w:kern w:val="24"/>
          <w:u w:val="single"/>
          <w:lang w:val="en-US"/>
        </w:rPr>
        <w:t>LCWRA ONLY</w:t>
      </w:r>
      <w:r w:rsidRPr="0090476B">
        <w:rPr>
          <w:rFonts w:eastAsiaTheme="minorEastAsia"/>
          <w:color w:val="000000" w:themeColor="text1"/>
          <w:kern w:val="24"/>
          <w:lang w:val="en-US"/>
        </w:rPr>
        <w:t>. If a claimant has LCW but not LCWRA, the process remains as now.</w:t>
      </w:r>
    </w:p>
    <w:p w14:paraId="53212BD3" w14:textId="77777777" w:rsidR="00CB3012" w:rsidRPr="0090476B" w:rsidRDefault="00CB3012" w:rsidP="00275FF4">
      <w:pPr>
        <w:pStyle w:val="Style1"/>
        <w:numPr>
          <w:ilvl w:val="0"/>
          <w:numId w:val="0"/>
        </w:numPr>
        <w:ind w:left="360"/>
        <w:rPr>
          <w:rFonts w:eastAsiaTheme="minorEastAsia"/>
          <w:color w:val="000000" w:themeColor="text1"/>
          <w:kern w:val="24"/>
          <w:lang w:val="en-US"/>
        </w:rPr>
      </w:pPr>
    </w:p>
    <w:p w14:paraId="3A9B11B9" w14:textId="77777777" w:rsidR="00CB3012" w:rsidRPr="0090476B" w:rsidRDefault="00CB3012" w:rsidP="00275FF4">
      <w:pPr>
        <w:pStyle w:val="Style1"/>
        <w:rPr>
          <w:rFonts w:eastAsiaTheme="minorEastAsia"/>
          <w:color w:val="000000" w:themeColor="text1"/>
          <w:kern w:val="24"/>
          <w:lang w:val="en-US"/>
        </w:rPr>
      </w:pPr>
      <w:r w:rsidRPr="0090476B">
        <w:rPr>
          <w:rFonts w:eastAsiaTheme="minorEastAsia"/>
          <w:color w:val="000000" w:themeColor="text1"/>
          <w:kern w:val="24"/>
          <w:lang w:val="en-US"/>
        </w:rPr>
        <w:t>The principles behind this change are to:</w:t>
      </w:r>
    </w:p>
    <w:p w14:paraId="6A03B867" w14:textId="77777777" w:rsidR="00DD57DE" w:rsidRPr="0090476B" w:rsidRDefault="00DD57DE" w:rsidP="00CB3012">
      <w:pPr>
        <w:spacing w:after="0" w:line="240" w:lineRule="auto"/>
        <w:rPr>
          <w:rFonts w:ascii="Arial" w:eastAsiaTheme="minorEastAsia" w:hAnsi="Arial" w:cs="Arial"/>
          <w:color w:val="000000" w:themeColor="text1"/>
          <w:kern w:val="24"/>
          <w:sz w:val="24"/>
          <w:szCs w:val="24"/>
          <w:lang w:val="en-US"/>
        </w:rPr>
      </w:pPr>
    </w:p>
    <w:p w14:paraId="2BC62B39" w14:textId="2B4072A2" w:rsidR="00CB3012" w:rsidRPr="0090476B" w:rsidRDefault="00CB3012" w:rsidP="00DD57DE">
      <w:pPr>
        <w:pStyle w:val="ListParagraph"/>
        <w:numPr>
          <w:ilvl w:val="0"/>
          <w:numId w:val="3"/>
        </w:numPr>
        <w:rPr>
          <w:rFonts w:ascii="Arial" w:eastAsiaTheme="minorEastAsia" w:hAnsi="Arial" w:cs="Arial"/>
          <w:color w:val="000000" w:themeColor="text1"/>
          <w:kern w:val="24"/>
          <w:lang w:val="en-US"/>
        </w:rPr>
      </w:pPr>
      <w:r w:rsidRPr="0090476B">
        <w:rPr>
          <w:rFonts w:ascii="Arial" w:eastAsiaTheme="minorEastAsia" w:hAnsi="Arial" w:cs="Arial"/>
          <w:color w:val="000000" w:themeColor="text1"/>
          <w:kern w:val="24"/>
          <w:lang w:val="en-US"/>
        </w:rPr>
        <w:t xml:space="preserve">Reduce any unnecessary </w:t>
      </w:r>
      <w:r w:rsidR="005E5A11" w:rsidRPr="0090476B">
        <w:rPr>
          <w:rFonts w:ascii="Arial" w:eastAsiaTheme="minorEastAsia" w:hAnsi="Arial" w:cs="Arial"/>
          <w:color w:val="000000" w:themeColor="text1"/>
          <w:kern w:val="24"/>
          <w:lang w:val="en-US"/>
        </w:rPr>
        <w:t xml:space="preserve">disruption </w:t>
      </w:r>
      <w:r w:rsidRPr="0090476B">
        <w:rPr>
          <w:rFonts w:ascii="Arial" w:eastAsiaTheme="minorEastAsia" w:hAnsi="Arial" w:cs="Arial"/>
          <w:color w:val="000000" w:themeColor="text1"/>
          <w:kern w:val="24"/>
          <w:lang w:val="en-US"/>
        </w:rPr>
        <w:t xml:space="preserve">caused </w:t>
      </w:r>
      <w:r w:rsidR="00DD1C14" w:rsidRPr="0090476B">
        <w:rPr>
          <w:rFonts w:ascii="Arial" w:eastAsiaTheme="minorEastAsia" w:hAnsi="Arial" w:cs="Arial"/>
          <w:color w:val="000000" w:themeColor="text1"/>
          <w:kern w:val="24"/>
          <w:lang w:val="en-US"/>
        </w:rPr>
        <w:t xml:space="preserve">to claimants </w:t>
      </w:r>
      <w:r w:rsidRPr="0090476B">
        <w:rPr>
          <w:rFonts w:ascii="Arial" w:eastAsiaTheme="minorEastAsia" w:hAnsi="Arial" w:cs="Arial"/>
          <w:color w:val="000000" w:themeColor="text1"/>
          <w:kern w:val="24"/>
          <w:lang w:val="en-US"/>
        </w:rPr>
        <w:t>by a repea</w:t>
      </w:r>
      <w:r w:rsidR="00DD57DE" w:rsidRPr="0090476B">
        <w:rPr>
          <w:rFonts w:ascii="Arial" w:eastAsiaTheme="minorEastAsia" w:hAnsi="Arial" w:cs="Arial"/>
          <w:color w:val="000000" w:themeColor="text1"/>
          <w:kern w:val="24"/>
          <w:lang w:val="en-US"/>
        </w:rPr>
        <w:t>t assessment when we do not expect re-assessments to tell us anything new for the purposes of administering their benefit.</w:t>
      </w:r>
    </w:p>
    <w:p w14:paraId="6C750172" w14:textId="77777777" w:rsidR="00CB3012" w:rsidRPr="0090476B" w:rsidRDefault="00CB3012" w:rsidP="00CB3012">
      <w:pPr>
        <w:pStyle w:val="ListParagraph"/>
        <w:numPr>
          <w:ilvl w:val="0"/>
          <w:numId w:val="3"/>
        </w:numPr>
        <w:rPr>
          <w:rFonts w:ascii="Arial" w:eastAsiaTheme="minorEastAsia" w:hAnsi="Arial" w:cs="Arial"/>
          <w:color w:val="000000" w:themeColor="text1"/>
          <w:kern w:val="24"/>
          <w:lang w:val="en-US"/>
        </w:rPr>
      </w:pPr>
      <w:r w:rsidRPr="0090476B">
        <w:rPr>
          <w:rFonts w:ascii="Arial" w:eastAsiaTheme="minorEastAsia" w:hAnsi="Arial" w:cs="Arial"/>
          <w:color w:val="000000" w:themeColor="text1"/>
          <w:kern w:val="24"/>
          <w:lang w:val="en-US"/>
        </w:rPr>
        <w:t xml:space="preserve">Reduce the burden placed on claimants to continue to produce evidence confirming the impact </w:t>
      </w:r>
      <w:r w:rsidR="00DD1C14" w:rsidRPr="0090476B">
        <w:rPr>
          <w:rFonts w:ascii="Arial" w:eastAsiaTheme="minorEastAsia" w:hAnsi="Arial" w:cs="Arial"/>
          <w:color w:val="000000" w:themeColor="text1"/>
          <w:kern w:val="24"/>
          <w:lang w:val="en-US"/>
        </w:rPr>
        <w:t xml:space="preserve">of </w:t>
      </w:r>
      <w:r w:rsidRPr="0090476B">
        <w:rPr>
          <w:rFonts w:ascii="Arial" w:eastAsiaTheme="minorEastAsia" w:hAnsi="Arial" w:cs="Arial"/>
          <w:color w:val="000000" w:themeColor="text1"/>
          <w:kern w:val="24"/>
          <w:lang w:val="en-US"/>
        </w:rPr>
        <w:t xml:space="preserve">a health condition or disability </w:t>
      </w:r>
    </w:p>
    <w:p w14:paraId="5FC56727" w14:textId="5CBCF566" w:rsidR="00DD57DE" w:rsidRPr="0090476B" w:rsidRDefault="00DD57DE" w:rsidP="00CB3012">
      <w:pPr>
        <w:pStyle w:val="ListParagraph"/>
        <w:numPr>
          <w:ilvl w:val="0"/>
          <w:numId w:val="3"/>
        </w:numPr>
        <w:rPr>
          <w:rFonts w:ascii="Arial" w:eastAsiaTheme="minorEastAsia" w:hAnsi="Arial" w:cs="Arial"/>
          <w:color w:val="000000" w:themeColor="text1"/>
          <w:kern w:val="24"/>
          <w:lang w:val="en-US"/>
        </w:rPr>
      </w:pPr>
      <w:r w:rsidRPr="0090476B">
        <w:rPr>
          <w:rFonts w:ascii="Arial" w:eastAsiaTheme="minorEastAsia" w:hAnsi="Arial" w:cs="Arial"/>
          <w:color w:val="000000" w:themeColor="text1"/>
          <w:kern w:val="24"/>
          <w:lang w:val="en-US"/>
        </w:rPr>
        <w:t xml:space="preserve">Reduce the need for the Department or CHDA to conduct unnecessary assessments when </w:t>
      </w:r>
      <w:r w:rsidR="00DD1C14" w:rsidRPr="0090476B">
        <w:rPr>
          <w:rFonts w:ascii="Arial" w:eastAsiaTheme="minorEastAsia" w:hAnsi="Arial" w:cs="Arial"/>
          <w:color w:val="000000" w:themeColor="text1"/>
          <w:kern w:val="24"/>
          <w:lang w:val="en-US"/>
        </w:rPr>
        <w:t>resource</w:t>
      </w:r>
      <w:r w:rsidRPr="0090476B">
        <w:rPr>
          <w:rFonts w:ascii="Arial" w:eastAsiaTheme="minorEastAsia" w:hAnsi="Arial" w:cs="Arial"/>
          <w:color w:val="000000" w:themeColor="text1"/>
          <w:kern w:val="24"/>
          <w:lang w:val="en-US"/>
        </w:rPr>
        <w:t xml:space="preserve"> could be better focused.</w:t>
      </w:r>
    </w:p>
    <w:p w14:paraId="33131D02" w14:textId="77777777" w:rsidR="00DD57DE" w:rsidRPr="0090476B" w:rsidRDefault="00DD57DE" w:rsidP="000B31C5">
      <w:pPr>
        <w:spacing w:line="240" w:lineRule="auto"/>
        <w:rPr>
          <w:rFonts w:ascii="Arial" w:hAnsi="Arial" w:cs="Arial"/>
          <w:b/>
          <w:sz w:val="24"/>
          <w:szCs w:val="24"/>
          <w:u w:val="single"/>
        </w:rPr>
      </w:pPr>
    </w:p>
    <w:p w14:paraId="7F4CA765" w14:textId="77777777" w:rsidR="00DD57DE" w:rsidRPr="0090476B" w:rsidRDefault="00DD57DE" w:rsidP="00275FF4">
      <w:pPr>
        <w:pStyle w:val="Style1"/>
      </w:pPr>
      <w:r w:rsidRPr="0090476B">
        <w:t>The Department has set out the criteria for when to apply the new severe conditions re-referral period.</w:t>
      </w:r>
      <w:r w:rsidR="00D5333D" w:rsidRPr="0090476B">
        <w:t xml:space="preserve"> This can be applied at </w:t>
      </w:r>
      <w:proofErr w:type="spellStart"/>
      <w:r w:rsidR="00D5333D" w:rsidRPr="0090476B">
        <w:t>filework</w:t>
      </w:r>
      <w:proofErr w:type="spellEnd"/>
      <w:r w:rsidR="00D5333D" w:rsidRPr="0090476B">
        <w:t xml:space="preserve"> and following a face-to-face assessment. </w:t>
      </w:r>
    </w:p>
    <w:p w14:paraId="3ABECD72" w14:textId="77777777" w:rsidR="00441B8B" w:rsidRPr="0090476B" w:rsidRDefault="00441B8B" w:rsidP="000B31C5">
      <w:pPr>
        <w:spacing w:line="240" w:lineRule="auto"/>
        <w:rPr>
          <w:rFonts w:ascii="Arial" w:hAnsi="Arial" w:cs="Arial"/>
          <w:b/>
          <w:sz w:val="24"/>
          <w:szCs w:val="24"/>
          <w:u w:val="single"/>
        </w:rPr>
      </w:pPr>
    </w:p>
    <w:p w14:paraId="44DC5CB7" w14:textId="77777777" w:rsidR="001A7B46" w:rsidRDefault="001A7B46" w:rsidP="001A7B46">
      <w:pPr>
        <w:spacing w:line="240" w:lineRule="auto"/>
        <w:rPr>
          <w:rFonts w:ascii="Arial" w:hAnsi="Arial" w:cs="Arial"/>
          <w:b/>
          <w:sz w:val="24"/>
          <w:szCs w:val="24"/>
        </w:rPr>
      </w:pPr>
    </w:p>
    <w:p w14:paraId="1BAB410F" w14:textId="77777777" w:rsidR="00D15F46" w:rsidRDefault="00D15F46" w:rsidP="001A7B46">
      <w:pPr>
        <w:spacing w:line="240" w:lineRule="auto"/>
        <w:rPr>
          <w:rFonts w:ascii="Arial" w:hAnsi="Arial" w:cs="Arial"/>
          <w:b/>
          <w:sz w:val="24"/>
          <w:szCs w:val="24"/>
        </w:rPr>
      </w:pPr>
    </w:p>
    <w:p w14:paraId="13EB9C37" w14:textId="77777777" w:rsidR="00D15F46" w:rsidRPr="0090476B" w:rsidRDefault="00D15F46" w:rsidP="001A7B46">
      <w:pPr>
        <w:spacing w:line="240" w:lineRule="auto"/>
        <w:rPr>
          <w:rFonts w:ascii="Arial" w:hAnsi="Arial" w:cs="Arial"/>
          <w:b/>
          <w:sz w:val="24"/>
          <w:szCs w:val="24"/>
        </w:rPr>
      </w:pPr>
    </w:p>
    <w:p w14:paraId="54DDAB33" w14:textId="77777777" w:rsidR="00C035E0" w:rsidRPr="0090476B" w:rsidRDefault="00C035E0" w:rsidP="001A7B46">
      <w:pPr>
        <w:spacing w:line="240" w:lineRule="auto"/>
        <w:rPr>
          <w:rFonts w:ascii="Arial" w:hAnsi="Arial" w:cs="Arial"/>
          <w:b/>
          <w:sz w:val="24"/>
          <w:szCs w:val="24"/>
          <w:u w:val="single"/>
        </w:rPr>
      </w:pPr>
      <w:r w:rsidRPr="0090476B">
        <w:rPr>
          <w:rFonts w:ascii="Arial" w:hAnsi="Arial" w:cs="Arial"/>
          <w:b/>
          <w:sz w:val="24"/>
          <w:szCs w:val="24"/>
          <w:u w:val="single"/>
        </w:rPr>
        <w:lastRenderedPageBreak/>
        <w:t>CRITERIA</w:t>
      </w:r>
    </w:p>
    <w:p w14:paraId="56FDB1BF" w14:textId="77777777" w:rsidR="001A7B46" w:rsidRPr="0090476B" w:rsidRDefault="001A7B46" w:rsidP="001A7B46">
      <w:pPr>
        <w:pStyle w:val="Style1"/>
      </w:pPr>
      <w:r w:rsidRPr="0090476B">
        <w:t>ONE of the following</w:t>
      </w:r>
      <w:r w:rsidR="00441B8B" w:rsidRPr="0090476B">
        <w:t xml:space="preserve"> Functional</w:t>
      </w:r>
      <w:r w:rsidRPr="0090476B">
        <w:t xml:space="preserve"> Support Group (LCWRA) criteria must be met:</w:t>
      </w:r>
    </w:p>
    <w:p w14:paraId="5D98CDA4" w14:textId="77777777" w:rsidR="001A7B46" w:rsidRPr="0090476B" w:rsidRDefault="001A7B46" w:rsidP="001A7B46">
      <w:pPr>
        <w:pStyle w:val="Style1"/>
        <w:numPr>
          <w:ilvl w:val="0"/>
          <w:numId w:val="0"/>
        </w:numPr>
        <w:ind w:left="360"/>
      </w:pPr>
    </w:p>
    <w:p w14:paraId="4A1603F0"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Mobilising 50m</w:t>
      </w:r>
    </w:p>
    <w:p w14:paraId="49A1F597"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Transfer independently</w:t>
      </w:r>
    </w:p>
    <w:p w14:paraId="65576ECE"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Reaching</w:t>
      </w:r>
    </w:p>
    <w:p w14:paraId="6642C394"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Picking up and/or moving</w:t>
      </w:r>
    </w:p>
    <w:p w14:paraId="2A55F070"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Manual dexterity</w:t>
      </w:r>
    </w:p>
    <w:p w14:paraId="3DF5D334" w14:textId="77777777" w:rsidR="001A7B46" w:rsidRPr="0090476B" w:rsidRDefault="00441B8B"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Making yourself understood</w:t>
      </w:r>
    </w:p>
    <w:p w14:paraId="1AB4358E"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 xml:space="preserve">Understanding </w:t>
      </w:r>
      <w:r w:rsidR="00441B8B" w:rsidRPr="0090476B">
        <w:rPr>
          <w:rFonts w:ascii="Arial" w:eastAsiaTheme="minorEastAsia" w:hAnsi="Arial" w:cs="Arial"/>
          <w:kern w:val="24"/>
        </w:rPr>
        <w:t>communication</w:t>
      </w:r>
    </w:p>
    <w:p w14:paraId="0E773CE4"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Weekly incontinence</w:t>
      </w:r>
    </w:p>
    <w:p w14:paraId="0F67A211"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Learning tasks</w:t>
      </w:r>
    </w:p>
    <w:p w14:paraId="15C1123D"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Awareness of hazards</w:t>
      </w:r>
    </w:p>
    <w:p w14:paraId="2AE55A25"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Personal actions</w:t>
      </w:r>
    </w:p>
    <w:p w14:paraId="3BC008D2"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Coping with change</w:t>
      </w:r>
    </w:p>
    <w:p w14:paraId="511F2FCA"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Engaging socially</w:t>
      </w:r>
    </w:p>
    <w:p w14:paraId="34792782"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Appropriateness of behaviour</w:t>
      </w:r>
    </w:p>
    <w:p w14:paraId="26ED78E0" w14:textId="4F0A1D4A"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Unable to eat / drink / chew / swallow</w:t>
      </w:r>
      <w:r w:rsidR="002D7BD0" w:rsidRPr="0090476B">
        <w:rPr>
          <w:rFonts w:ascii="Arial" w:eastAsiaTheme="minorEastAsia" w:hAnsi="Arial" w:cs="Arial"/>
          <w:kern w:val="24"/>
        </w:rPr>
        <w:t xml:space="preserve"> / convey food or drink</w:t>
      </w:r>
    </w:p>
    <w:p w14:paraId="7F42EA42" w14:textId="77777777" w:rsidR="001A7B46" w:rsidRPr="0090476B" w:rsidRDefault="001A7B46" w:rsidP="00441B8B">
      <w:pPr>
        <w:pStyle w:val="ListParagraph"/>
        <w:kinsoku w:val="0"/>
        <w:overflowPunct w:val="0"/>
        <w:textAlignment w:val="baseline"/>
        <w:rPr>
          <w:rFonts w:ascii="Arial" w:hAnsi="Arial" w:cs="Arial"/>
        </w:rPr>
      </w:pPr>
    </w:p>
    <w:p w14:paraId="4521F1B8" w14:textId="77777777" w:rsidR="00043CA5" w:rsidRPr="0090476B" w:rsidRDefault="00441B8B" w:rsidP="00441B8B">
      <w:pPr>
        <w:pStyle w:val="Style1"/>
      </w:pPr>
      <w:r w:rsidRPr="0090476B">
        <w:t xml:space="preserve">If </w:t>
      </w:r>
      <w:r w:rsidR="00EF1B4A" w:rsidRPr="0090476B">
        <w:t xml:space="preserve">ONE </w:t>
      </w:r>
      <w:r w:rsidRPr="0090476B">
        <w:t>of the above criteria is met, ALL</w:t>
      </w:r>
      <w:r w:rsidR="00043CA5" w:rsidRPr="0090476B">
        <w:t xml:space="preserve"> </w:t>
      </w:r>
      <w:r w:rsidR="00EF1B4A" w:rsidRPr="0090476B">
        <w:t xml:space="preserve">FOUR </w:t>
      </w:r>
      <w:r w:rsidR="00043CA5" w:rsidRPr="0090476B">
        <w:t xml:space="preserve">of the following criteria must </w:t>
      </w:r>
      <w:r w:rsidRPr="0090476B">
        <w:t xml:space="preserve">also </w:t>
      </w:r>
      <w:r w:rsidR="00043CA5" w:rsidRPr="0090476B">
        <w:t>be met:</w:t>
      </w:r>
    </w:p>
    <w:p w14:paraId="4242F08B" w14:textId="77777777" w:rsidR="004032F6" w:rsidRPr="0090476B" w:rsidRDefault="004032F6" w:rsidP="000B31C5">
      <w:pPr>
        <w:spacing w:line="240" w:lineRule="auto"/>
        <w:rPr>
          <w:rFonts w:ascii="Arial" w:hAnsi="Arial"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2112"/>
        <w:gridCol w:w="2786"/>
        <w:gridCol w:w="2835"/>
      </w:tblGrid>
      <w:tr w:rsidR="00441B8B" w:rsidRPr="0090476B" w14:paraId="07F57D2D" w14:textId="77777777" w:rsidTr="00D15F46">
        <w:trPr>
          <w:trHeight w:val="462"/>
        </w:trPr>
        <w:tc>
          <w:tcPr>
            <w:tcW w:w="2185" w:type="dxa"/>
            <w:shd w:val="clear" w:color="auto" w:fill="auto"/>
            <w:tcMar>
              <w:top w:w="15" w:type="dxa"/>
              <w:left w:w="95" w:type="dxa"/>
              <w:bottom w:w="0" w:type="dxa"/>
              <w:right w:w="95" w:type="dxa"/>
            </w:tcMar>
          </w:tcPr>
          <w:p w14:paraId="1D12D007" w14:textId="77777777" w:rsidR="00441B8B" w:rsidRPr="0090476B" w:rsidRDefault="00441B8B" w:rsidP="00127539">
            <w:pPr>
              <w:spacing w:after="0" w:line="240" w:lineRule="auto"/>
              <w:rPr>
                <w:rFonts w:ascii="Arial" w:eastAsia="Times New Roman" w:hAnsi="Arial" w:cs="Arial"/>
                <w:b/>
                <w:bCs/>
                <w:kern w:val="24"/>
                <w:sz w:val="24"/>
                <w:szCs w:val="24"/>
                <w:lang w:eastAsia="en-GB"/>
              </w:rPr>
            </w:pPr>
            <w:r w:rsidRPr="0090476B">
              <w:rPr>
                <w:rFonts w:ascii="Arial" w:eastAsia="Times New Roman" w:hAnsi="Arial" w:cs="Arial"/>
                <w:b/>
                <w:bCs/>
                <w:kern w:val="24"/>
                <w:sz w:val="24"/>
                <w:szCs w:val="24"/>
                <w:lang w:eastAsia="en-GB"/>
              </w:rPr>
              <w:t>Criterion</w:t>
            </w:r>
          </w:p>
        </w:tc>
        <w:tc>
          <w:tcPr>
            <w:tcW w:w="2112" w:type="dxa"/>
            <w:shd w:val="clear" w:color="auto" w:fill="auto"/>
            <w:tcMar>
              <w:top w:w="15" w:type="dxa"/>
              <w:left w:w="95" w:type="dxa"/>
              <w:bottom w:w="0" w:type="dxa"/>
              <w:right w:w="95" w:type="dxa"/>
            </w:tcMar>
          </w:tcPr>
          <w:p w14:paraId="75C3539D" w14:textId="77777777" w:rsidR="00441B8B" w:rsidRPr="0090476B" w:rsidRDefault="00441B8B" w:rsidP="00127539">
            <w:pPr>
              <w:spacing w:after="0" w:line="240" w:lineRule="auto"/>
              <w:rPr>
                <w:rFonts w:ascii="Arial" w:eastAsia="Times New Roman" w:hAnsi="Arial" w:cs="Arial"/>
                <w:b/>
                <w:bCs/>
                <w:kern w:val="24"/>
                <w:sz w:val="24"/>
                <w:szCs w:val="24"/>
                <w:lang w:eastAsia="en-GB"/>
              </w:rPr>
            </w:pPr>
            <w:r w:rsidRPr="0090476B">
              <w:rPr>
                <w:rFonts w:ascii="Arial" w:eastAsia="Times New Roman" w:hAnsi="Arial" w:cs="Arial"/>
                <w:b/>
                <w:bCs/>
                <w:kern w:val="24"/>
                <w:sz w:val="24"/>
                <w:szCs w:val="24"/>
                <w:lang w:eastAsia="en-GB"/>
              </w:rPr>
              <w:t xml:space="preserve">Description </w:t>
            </w:r>
          </w:p>
        </w:tc>
        <w:tc>
          <w:tcPr>
            <w:tcW w:w="2786" w:type="dxa"/>
            <w:shd w:val="clear" w:color="auto" w:fill="auto"/>
            <w:tcMar>
              <w:top w:w="15" w:type="dxa"/>
              <w:left w:w="95" w:type="dxa"/>
              <w:bottom w:w="0" w:type="dxa"/>
              <w:right w:w="95" w:type="dxa"/>
            </w:tcMar>
          </w:tcPr>
          <w:p w14:paraId="616B9B47" w14:textId="77777777" w:rsidR="00441B8B" w:rsidRPr="0090476B" w:rsidRDefault="00441B8B" w:rsidP="00127539">
            <w:pPr>
              <w:spacing w:after="0" w:line="240" w:lineRule="auto"/>
              <w:rPr>
                <w:rFonts w:ascii="Arial" w:eastAsia="Times New Roman" w:hAnsi="Arial" w:cs="Arial"/>
                <w:b/>
                <w:bCs/>
                <w:kern w:val="24"/>
                <w:sz w:val="24"/>
                <w:szCs w:val="24"/>
                <w:lang w:eastAsia="en-GB"/>
              </w:rPr>
            </w:pPr>
            <w:r w:rsidRPr="0090476B">
              <w:rPr>
                <w:rFonts w:ascii="Arial" w:eastAsia="Times New Roman" w:hAnsi="Arial" w:cs="Arial"/>
                <w:b/>
                <w:bCs/>
                <w:kern w:val="24"/>
                <w:sz w:val="24"/>
                <w:szCs w:val="24"/>
                <w:lang w:eastAsia="en-GB"/>
              </w:rPr>
              <w:t>Examples of conditions that might meet the criteria</w:t>
            </w:r>
          </w:p>
        </w:tc>
        <w:tc>
          <w:tcPr>
            <w:tcW w:w="2835" w:type="dxa"/>
            <w:shd w:val="clear" w:color="auto" w:fill="auto"/>
            <w:tcMar>
              <w:top w:w="15" w:type="dxa"/>
              <w:left w:w="95" w:type="dxa"/>
              <w:bottom w:w="0" w:type="dxa"/>
              <w:right w:w="95" w:type="dxa"/>
            </w:tcMar>
          </w:tcPr>
          <w:p w14:paraId="7830ECB3" w14:textId="77777777" w:rsidR="00441B8B" w:rsidRPr="0090476B" w:rsidRDefault="00441B8B" w:rsidP="00127539">
            <w:pPr>
              <w:spacing w:after="0" w:line="240" w:lineRule="auto"/>
              <w:rPr>
                <w:rFonts w:ascii="Arial" w:eastAsia="Times New Roman" w:hAnsi="Arial" w:cs="Arial"/>
                <w:b/>
                <w:bCs/>
                <w:kern w:val="24"/>
                <w:sz w:val="24"/>
                <w:szCs w:val="24"/>
                <w:lang w:eastAsia="en-GB"/>
              </w:rPr>
            </w:pPr>
            <w:r w:rsidRPr="0090476B">
              <w:rPr>
                <w:rFonts w:ascii="Arial" w:eastAsia="Times New Roman" w:hAnsi="Arial" w:cs="Arial"/>
                <w:b/>
                <w:bCs/>
                <w:kern w:val="24"/>
                <w:sz w:val="24"/>
                <w:szCs w:val="24"/>
                <w:lang w:eastAsia="en-GB"/>
              </w:rPr>
              <w:t xml:space="preserve">Examples of conditions that might </w:t>
            </w:r>
            <w:r w:rsidRPr="0090476B">
              <w:rPr>
                <w:rFonts w:ascii="Arial" w:eastAsia="Times New Roman" w:hAnsi="Arial" w:cs="Arial"/>
                <w:b/>
                <w:bCs/>
                <w:kern w:val="24"/>
                <w:sz w:val="24"/>
                <w:szCs w:val="24"/>
                <w:u w:val="single"/>
                <w:lang w:eastAsia="en-GB"/>
              </w:rPr>
              <w:t xml:space="preserve">not </w:t>
            </w:r>
            <w:r w:rsidRPr="0090476B">
              <w:rPr>
                <w:rFonts w:ascii="Arial" w:eastAsia="Times New Roman" w:hAnsi="Arial" w:cs="Arial"/>
                <w:b/>
                <w:bCs/>
                <w:kern w:val="24"/>
                <w:sz w:val="24"/>
                <w:szCs w:val="24"/>
                <w:lang w:eastAsia="en-GB"/>
              </w:rPr>
              <w:t>meet the criteria</w:t>
            </w:r>
          </w:p>
        </w:tc>
      </w:tr>
      <w:tr w:rsidR="00441B8B" w:rsidRPr="0090476B" w14:paraId="278468B2" w14:textId="77777777" w:rsidTr="00D15F46">
        <w:trPr>
          <w:trHeight w:val="462"/>
        </w:trPr>
        <w:tc>
          <w:tcPr>
            <w:tcW w:w="2185" w:type="dxa"/>
            <w:shd w:val="clear" w:color="auto" w:fill="auto"/>
            <w:tcMar>
              <w:top w:w="15" w:type="dxa"/>
              <w:left w:w="95" w:type="dxa"/>
              <w:bottom w:w="0" w:type="dxa"/>
              <w:right w:w="95" w:type="dxa"/>
            </w:tcMar>
          </w:tcPr>
          <w:p w14:paraId="6FCFDB6C" w14:textId="413C0706" w:rsidR="0013768C" w:rsidRPr="0090476B" w:rsidRDefault="0013768C" w:rsidP="00127539">
            <w:pPr>
              <w:spacing w:after="0" w:line="240" w:lineRule="auto"/>
              <w:rPr>
                <w:rFonts w:ascii="Arial" w:eastAsia="Times New Roman" w:hAnsi="Arial" w:cs="Arial"/>
                <w:b/>
                <w:bCs/>
                <w:kern w:val="24"/>
                <w:sz w:val="24"/>
                <w:szCs w:val="24"/>
                <w:lang w:eastAsia="en-GB"/>
              </w:rPr>
            </w:pPr>
            <w:r w:rsidRPr="0090476B">
              <w:rPr>
                <w:rFonts w:ascii="Arial" w:eastAsia="Times New Roman" w:hAnsi="Arial" w:cs="Arial"/>
                <w:b/>
                <w:kern w:val="24"/>
                <w:sz w:val="24"/>
                <w:szCs w:val="24"/>
                <w:lang w:eastAsia="en-GB"/>
              </w:rPr>
              <w:t>The level of function would always meet LCWRA</w:t>
            </w:r>
          </w:p>
        </w:tc>
        <w:tc>
          <w:tcPr>
            <w:tcW w:w="2112" w:type="dxa"/>
            <w:shd w:val="clear" w:color="auto" w:fill="auto"/>
            <w:tcMar>
              <w:top w:w="15" w:type="dxa"/>
              <w:left w:w="95" w:type="dxa"/>
              <w:bottom w:w="0" w:type="dxa"/>
              <w:right w:w="95" w:type="dxa"/>
            </w:tcMar>
          </w:tcPr>
          <w:p w14:paraId="1421A14B" w14:textId="77777777" w:rsidR="00441B8B" w:rsidRPr="0090476B" w:rsidRDefault="00441B8B" w:rsidP="00127539">
            <w:pPr>
              <w:spacing w:after="0" w:line="240" w:lineRule="auto"/>
              <w:rPr>
                <w:rFonts w:ascii="Arial" w:eastAsia="Times New Roman" w:hAnsi="Arial" w:cs="Arial"/>
                <w:b/>
                <w:bCs/>
                <w:kern w:val="24"/>
                <w:sz w:val="24"/>
                <w:szCs w:val="24"/>
                <w:lang w:eastAsia="en-GB"/>
              </w:rPr>
            </w:pPr>
            <w:r w:rsidRPr="0090476B">
              <w:rPr>
                <w:rFonts w:ascii="Arial" w:eastAsia="Times New Roman" w:hAnsi="Arial" w:cs="Arial"/>
                <w:kern w:val="24"/>
                <w:sz w:val="24"/>
                <w:szCs w:val="24"/>
                <w:lang w:eastAsia="en-GB"/>
              </w:rPr>
              <w:t>The level of function would always meet LCWRA criteria</w:t>
            </w:r>
          </w:p>
        </w:tc>
        <w:tc>
          <w:tcPr>
            <w:tcW w:w="2786" w:type="dxa"/>
            <w:shd w:val="clear" w:color="auto" w:fill="auto"/>
            <w:tcMar>
              <w:top w:w="15" w:type="dxa"/>
              <w:left w:w="95" w:type="dxa"/>
              <w:bottom w:w="0" w:type="dxa"/>
              <w:right w:w="95" w:type="dxa"/>
            </w:tcMar>
          </w:tcPr>
          <w:p w14:paraId="693572D1" w14:textId="65BD5EFD" w:rsidR="00441B8B" w:rsidRPr="00D55CBB" w:rsidRDefault="00ED44AD" w:rsidP="00D55CBB">
            <w:pPr>
              <w:spacing w:after="0" w:line="240" w:lineRule="auto"/>
              <w:rPr>
                <w:rFonts w:ascii="Arial" w:eastAsia="Times New Roman" w:hAnsi="Arial" w:cs="Arial"/>
                <w:bCs/>
                <w:kern w:val="24"/>
                <w:sz w:val="24"/>
                <w:szCs w:val="24"/>
                <w:lang w:eastAsia="en-GB"/>
              </w:rPr>
            </w:pPr>
            <w:r w:rsidRPr="0090476B">
              <w:rPr>
                <w:rFonts w:ascii="Arial" w:eastAsia="Times New Roman" w:hAnsi="Arial" w:cs="Arial"/>
                <w:bCs/>
                <w:kern w:val="24"/>
                <w:sz w:val="24"/>
                <w:szCs w:val="24"/>
                <w:lang w:eastAsia="en-GB"/>
              </w:rPr>
              <w:t>Motor Neurone Disease (</w:t>
            </w:r>
            <w:r w:rsidR="00441B8B" w:rsidRPr="0090476B">
              <w:rPr>
                <w:rFonts w:ascii="Arial" w:eastAsia="Times New Roman" w:hAnsi="Arial" w:cs="Arial"/>
                <w:bCs/>
                <w:kern w:val="24"/>
                <w:sz w:val="24"/>
                <w:szCs w:val="24"/>
                <w:lang w:eastAsia="en-GB"/>
              </w:rPr>
              <w:t>MND</w:t>
            </w:r>
            <w:r w:rsidRPr="0090476B">
              <w:rPr>
                <w:rFonts w:ascii="Arial" w:eastAsia="Times New Roman" w:hAnsi="Arial" w:cs="Arial"/>
                <w:bCs/>
                <w:kern w:val="24"/>
                <w:sz w:val="24"/>
                <w:szCs w:val="24"/>
                <w:lang w:eastAsia="en-GB"/>
              </w:rPr>
              <w:t>)</w:t>
            </w:r>
            <w:r w:rsidR="00441B8B" w:rsidRPr="0090476B">
              <w:rPr>
                <w:rFonts w:ascii="Arial" w:eastAsia="Times New Roman" w:hAnsi="Arial" w:cs="Arial"/>
                <w:bCs/>
                <w:kern w:val="24"/>
                <w:sz w:val="24"/>
                <w:szCs w:val="24"/>
                <w:lang w:eastAsia="en-GB"/>
              </w:rPr>
              <w:t xml:space="preserve">, </w:t>
            </w:r>
            <w:r w:rsidR="00D55CBB" w:rsidRPr="00D55CBB">
              <w:rPr>
                <w:rFonts w:ascii="Arial" w:eastAsia="Times New Roman" w:hAnsi="Arial" w:cs="Arial"/>
                <w:bCs/>
                <w:kern w:val="24"/>
                <w:sz w:val="24"/>
                <w:szCs w:val="24"/>
                <w:lang w:eastAsia="en-GB"/>
              </w:rPr>
              <w:t>severe and progressive forms of MS,</w:t>
            </w:r>
            <w:r w:rsidR="00441B8B" w:rsidRPr="0090476B">
              <w:rPr>
                <w:rFonts w:ascii="Arial" w:eastAsia="Times New Roman" w:hAnsi="Arial" w:cs="Arial"/>
                <w:bCs/>
                <w:kern w:val="24"/>
                <w:sz w:val="24"/>
                <w:szCs w:val="24"/>
                <w:lang w:eastAsia="en-GB"/>
              </w:rPr>
              <w:t xml:space="preserve"> Parkinson’s, All dementias, All chromosomal conditions, Huntington’s</w:t>
            </w:r>
            <w:r w:rsidR="00EF1B4A" w:rsidRPr="0090476B">
              <w:rPr>
                <w:rFonts w:ascii="Arial" w:eastAsia="Times New Roman" w:hAnsi="Arial" w:cs="Arial"/>
                <w:bCs/>
                <w:kern w:val="24"/>
                <w:sz w:val="24"/>
                <w:szCs w:val="24"/>
                <w:lang w:eastAsia="en-GB"/>
              </w:rPr>
              <w:t xml:space="preserve">, severe irreversible cardiorespiratory failure, severe acquired brain injury </w:t>
            </w:r>
            <w:r w:rsidR="00441B8B" w:rsidRPr="0090476B">
              <w:rPr>
                <w:rFonts w:ascii="Arial" w:eastAsia="Times New Roman" w:hAnsi="Arial" w:cs="Arial"/>
                <w:bCs/>
                <w:kern w:val="24"/>
                <w:sz w:val="24"/>
                <w:szCs w:val="24"/>
                <w:lang w:eastAsia="en-GB"/>
              </w:rPr>
              <w:t>…this list is not exhaustive</w:t>
            </w:r>
            <w:r w:rsidR="00441B8B" w:rsidRPr="00D55CBB">
              <w:rPr>
                <w:rFonts w:ascii="Arial" w:eastAsia="Times New Roman" w:hAnsi="Arial" w:cs="Arial"/>
                <w:bCs/>
                <w:kern w:val="24"/>
                <w:sz w:val="24"/>
                <w:szCs w:val="24"/>
                <w:lang w:eastAsia="en-GB"/>
              </w:rPr>
              <w:t xml:space="preserve"> </w:t>
            </w:r>
          </w:p>
        </w:tc>
        <w:tc>
          <w:tcPr>
            <w:tcW w:w="2835" w:type="dxa"/>
            <w:shd w:val="clear" w:color="auto" w:fill="auto"/>
            <w:tcMar>
              <w:top w:w="15" w:type="dxa"/>
              <w:left w:w="95" w:type="dxa"/>
              <w:bottom w:w="0" w:type="dxa"/>
              <w:right w:w="95" w:type="dxa"/>
            </w:tcMar>
          </w:tcPr>
          <w:p w14:paraId="42829B16" w14:textId="6FC79D8F" w:rsidR="00441B8B" w:rsidRPr="00D55CBB" w:rsidRDefault="00441B8B" w:rsidP="00D55CBB">
            <w:pPr>
              <w:spacing w:after="0" w:line="240" w:lineRule="auto"/>
              <w:rPr>
                <w:rFonts w:ascii="Arial" w:eastAsia="Times New Roman" w:hAnsi="Arial" w:cs="Arial"/>
                <w:bCs/>
                <w:kern w:val="24"/>
                <w:sz w:val="24"/>
                <w:szCs w:val="24"/>
                <w:lang w:eastAsia="en-GB"/>
              </w:rPr>
            </w:pPr>
            <w:r w:rsidRPr="00D55CBB">
              <w:rPr>
                <w:rFonts w:ascii="Arial" w:eastAsia="Times New Roman" w:hAnsi="Arial" w:cs="Arial"/>
                <w:bCs/>
                <w:kern w:val="24"/>
                <w:sz w:val="24"/>
                <w:szCs w:val="24"/>
                <w:lang w:eastAsia="en-GB"/>
              </w:rPr>
              <w:t xml:space="preserve">Conditions which might be severe at times but recovery of function might be present for substantial periods, such as </w:t>
            </w:r>
            <w:r w:rsidR="00D55CBB" w:rsidRPr="00D55CBB">
              <w:rPr>
                <w:rFonts w:ascii="Arial" w:eastAsia="Times New Roman" w:hAnsi="Arial" w:cs="Arial"/>
                <w:bCs/>
                <w:kern w:val="24"/>
                <w:sz w:val="24"/>
                <w:szCs w:val="24"/>
                <w:lang w:eastAsia="en-GB"/>
              </w:rPr>
              <w:t xml:space="preserve">recently diagnosed relapsing non-progressive forms of </w:t>
            </w:r>
            <w:r w:rsidRPr="00D55CBB">
              <w:rPr>
                <w:rFonts w:ascii="Arial" w:eastAsia="Times New Roman" w:hAnsi="Arial" w:cs="Arial"/>
                <w:bCs/>
                <w:kern w:val="24"/>
                <w:sz w:val="24"/>
                <w:szCs w:val="24"/>
                <w:lang w:eastAsia="en-GB"/>
              </w:rPr>
              <w:t xml:space="preserve"> MS or some people with </w:t>
            </w:r>
            <w:r w:rsidR="00D5333D" w:rsidRPr="00D55CBB">
              <w:rPr>
                <w:rFonts w:ascii="Arial" w:eastAsia="Times New Roman" w:hAnsi="Arial" w:cs="Arial"/>
                <w:bCs/>
                <w:kern w:val="24"/>
                <w:sz w:val="24"/>
                <w:szCs w:val="24"/>
                <w:lang w:eastAsia="en-GB"/>
              </w:rPr>
              <w:t xml:space="preserve">less severe mental health conditions with periods of reasonable </w:t>
            </w:r>
            <w:r w:rsidRPr="00D55CBB">
              <w:rPr>
                <w:rFonts w:ascii="Arial" w:eastAsia="Times New Roman" w:hAnsi="Arial" w:cs="Arial"/>
                <w:bCs/>
                <w:kern w:val="24"/>
                <w:sz w:val="24"/>
                <w:szCs w:val="24"/>
                <w:lang w:eastAsia="en-GB"/>
              </w:rPr>
              <w:t xml:space="preserve"> function</w:t>
            </w:r>
          </w:p>
        </w:tc>
      </w:tr>
      <w:tr w:rsidR="00441B8B" w:rsidRPr="0090476B" w14:paraId="65D8335A" w14:textId="77777777" w:rsidTr="00D15F46">
        <w:trPr>
          <w:trHeight w:val="994"/>
        </w:trPr>
        <w:tc>
          <w:tcPr>
            <w:tcW w:w="2185" w:type="dxa"/>
            <w:shd w:val="clear" w:color="auto" w:fill="auto"/>
            <w:tcMar>
              <w:top w:w="15" w:type="dxa"/>
              <w:left w:w="95" w:type="dxa"/>
              <w:bottom w:w="0" w:type="dxa"/>
              <w:right w:w="95" w:type="dxa"/>
            </w:tcMar>
            <w:hideMark/>
          </w:tcPr>
          <w:p w14:paraId="1DB13601" w14:textId="77777777" w:rsidR="00441B8B" w:rsidRPr="0090476B" w:rsidRDefault="00441B8B" w:rsidP="00127539">
            <w:pPr>
              <w:spacing w:after="0" w:line="240" w:lineRule="auto"/>
              <w:rPr>
                <w:rFonts w:ascii="Arial" w:eastAsia="Times New Roman" w:hAnsi="Arial" w:cs="Arial"/>
                <w:b/>
                <w:sz w:val="24"/>
                <w:szCs w:val="24"/>
                <w:lang w:eastAsia="en-GB"/>
              </w:rPr>
            </w:pPr>
            <w:r w:rsidRPr="0090476B">
              <w:rPr>
                <w:rFonts w:ascii="Arial" w:eastAsia="Times New Roman" w:hAnsi="Arial" w:cs="Arial"/>
                <w:b/>
                <w:bCs/>
                <w:kern w:val="24"/>
                <w:sz w:val="24"/>
                <w:szCs w:val="24"/>
                <w:lang w:eastAsia="en-GB"/>
              </w:rPr>
              <w:t>Lifelong condition, once diagnosed</w:t>
            </w:r>
          </w:p>
        </w:tc>
        <w:tc>
          <w:tcPr>
            <w:tcW w:w="2112" w:type="dxa"/>
            <w:shd w:val="clear" w:color="auto" w:fill="auto"/>
            <w:tcMar>
              <w:top w:w="15" w:type="dxa"/>
              <w:left w:w="95" w:type="dxa"/>
              <w:bottom w:w="0" w:type="dxa"/>
              <w:right w:w="95" w:type="dxa"/>
            </w:tcMar>
            <w:hideMark/>
          </w:tcPr>
          <w:p w14:paraId="327186D3" w14:textId="5A617CBC" w:rsidR="00441B8B" w:rsidRPr="0090476B" w:rsidRDefault="00441B8B" w:rsidP="00D55CBB">
            <w:pPr>
              <w:spacing w:after="0" w:line="240" w:lineRule="auto"/>
              <w:rPr>
                <w:rFonts w:ascii="Arial" w:eastAsia="Times New Roman" w:hAnsi="Arial" w:cs="Arial"/>
                <w:sz w:val="24"/>
                <w:szCs w:val="24"/>
                <w:lang w:eastAsia="en-GB"/>
              </w:rPr>
            </w:pPr>
            <w:r w:rsidRPr="0090476B">
              <w:rPr>
                <w:rFonts w:ascii="Arial" w:eastAsia="Times New Roman" w:hAnsi="Arial" w:cs="Arial"/>
                <w:bCs/>
                <w:kern w:val="24"/>
                <w:sz w:val="24"/>
                <w:szCs w:val="24"/>
                <w:lang w:eastAsia="en-GB"/>
              </w:rPr>
              <w:t>The condition will always be present. Some lifelong conditions are present from birth, but others will develop or be acquired later in life</w:t>
            </w:r>
          </w:p>
        </w:tc>
        <w:tc>
          <w:tcPr>
            <w:tcW w:w="2786" w:type="dxa"/>
            <w:shd w:val="clear" w:color="auto" w:fill="auto"/>
            <w:tcMar>
              <w:top w:w="15" w:type="dxa"/>
              <w:left w:w="95" w:type="dxa"/>
              <w:bottom w:w="0" w:type="dxa"/>
              <w:right w:w="95" w:type="dxa"/>
            </w:tcMar>
            <w:hideMark/>
          </w:tcPr>
          <w:p w14:paraId="484E2AE9" w14:textId="028A1258" w:rsidR="00441B8B" w:rsidRPr="0090476B" w:rsidRDefault="00441B8B" w:rsidP="00D5333D">
            <w:pPr>
              <w:spacing w:after="0" w:line="240" w:lineRule="auto"/>
              <w:rPr>
                <w:rFonts w:ascii="Arial" w:eastAsia="Times New Roman" w:hAnsi="Arial" w:cs="Arial"/>
                <w:sz w:val="24"/>
                <w:szCs w:val="24"/>
                <w:lang w:eastAsia="en-GB"/>
              </w:rPr>
            </w:pPr>
          </w:p>
        </w:tc>
        <w:tc>
          <w:tcPr>
            <w:tcW w:w="2835" w:type="dxa"/>
            <w:shd w:val="clear" w:color="auto" w:fill="auto"/>
            <w:tcMar>
              <w:top w:w="15" w:type="dxa"/>
              <w:left w:w="95" w:type="dxa"/>
              <w:bottom w:w="0" w:type="dxa"/>
              <w:right w:w="95" w:type="dxa"/>
            </w:tcMar>
            <w:hideMark/>
          </w:tcPr>
          <w:p w14:paraId="79D119D0" w14:textId="77777777" w:rsidR="00441B8B" w:rsidRPr="0090476B" w:rsidRDefault="00441B8B" w:rsidP="00127539">
            <w:pPr>
              <w:spacing w:after="0" w:line="240" w:lineRule="auto"/>
              <w:rPr>
                <w:rFonts w:ascii="Arial" w:eastAsia="Times New Roman" w:hAnsi="Arial" w:cs="Arial"/>
                <w:sz w:val="24"/>
                <w:szCs w:val="24"/>
                <w:lang w:eastAsia="en-GB"/>
              </w:rPr>
            </w:pPr>
            <w:r w:rsidRPr="0090476B">
              <w:rPr>
                <w:rFonts w:ascii="Arial" w:eastAsia="Times New Roman" w:hAnsi="Arial" w:cs="Arial"/>
                <w:bCs/>
                <w:kern w:val="24"/>
                <w:sz w:val="24"/>
                <w:szCs w:val="24"/>
                <w:lang w:eastAsia="en-GB"/>
              </w:rPr>
              <w:t>Conditions which might be cured by transplant / surgery / treatments or conditions which might resolve. T</w:t>
            </w:r>
            <w:r w:rsidRPr="0090476B">
              <w:rPr>
                <w:rFonts w:ascii="Arial" w:eastAsia="Times New Roman" w:hAnsi="Arial" w:cs="Arial"/>
                <w:kern w:val="24"/>
                <w:sz w:val="24"/>
                <w:szCs w:val="24"/>
                <w:lang w:eastAsia="en-GB"/>
              </w:rPr>
              <w:t>his should be based on currently available treatment on the NHS and not on the prospect of scientists discovering a cure in the future</w:t>
            </w:r>
          </w:p>
        </w:tc>
      </w:tr>
      <w:tr w:rsidR="00441B8B" w:rsidRPr="0090476B" w14:paraId="1FD9F214" w14:textId="77777777" w:rsidTr="00D15F46">
        <w:trPr>
          <w:trHeight w:val="1490"/>
        </w:trPr>
        <w:tc>
          <w:tcPr>
            <w:tcW w:w="2185" w:type="dxa"/>
            <w:shd w:val="clear" w:color="auto" w:fill="auto"/>
            <w:tcMar>
              <w:top w:w="15" w:type="dxa"/>
              <w:left w:w="95" w:type="dxa"/>
              <w:bottom w:w="0" w:type="dxa"/>
              <w:right w:w="95" w:type="dxa"/>
            </w:tcMar>
            <w:hideMark/>
          </w:tcPr>
          <w:p w14:paraId="3236E807" w14:textId="77777777" w:rsidR="00441B8B" w:rsidRPr="0090476B" w:rsidRDefault="00441B8B" w:rsidP="00127539">
            <w:pPr>
              <w:spacing w:after="0" w:line="240" w:lineRule="auto"/>
              <w:rPr>
                <w:rFonts w:ascii="Arial" w:eastAsia="Times New Roman" w:hAnsi="Arial" w:cs="Arial"/>
                <w:b/>
                <w:sz w:val="24"/>
                <w:szCs w:val="24"/>
                <w:lang w:eastAsia="en-GB"/>
              </w:rPr>
            </w:pPr>
            <w:r w:rsidRPr="0090476B">
              <w:rPr>
                <w:rFonts w:ascii="Arial" w:eastAsia="Times New Roman" w:hAnsi="Arial" w:cs="Arial"/>
                <w:b/>
                <w:bCs/>
                <w:kern w:val="24"/>
                <w:sz w:val="24"/>
                <w:szCs w:val="24"/>
                <w:lang w:eastAsia="en-GB"/>
              </w:rPr>
              <w:lastRenderedPageBreak/>
              <w:t>No realistic prospect of recovery of function</w:t>
            </w:r>
          </w:p>
        </w:tc>
        <w:tc>
          <w:tcPr>
            <w:tcW w:w="2112" w:type="dxa"/>
            <w:shd w:val="clear" w:color="auto" w:fill="auto"/>
            <w:tcMar>
              <w:top w:w="15" w:type="dxa"/>
              <w:left w:w="95" w:type="dxa"/>
              <w:bottom w:w="0" w:type="dxa"/>
              <w:right w:w="95" w:type="dxa"/>
            </w:tcMar>
            <w:hideMark/>
          </w:tcPr>
          <w:p w14:paraId="7F701055" w14:textId="77777777" w:rsidR="00441B8B" w:rsidRPr="0090476B" w:rsidRDefault="00441B8B" w:rsidP="00127539">
            <w:pPr>
              <w:spacing w:after="0" w:line="240" w:lineRule="auto"/>
              <w:rPr>
                <w:rFonts w:ascii="Arial" w:eastAsia="Times New Roman" w:hAnsi="Arial" w:cs="Arial"/>
                <w:sz w:val="24"/>
                <w:szCs w:val="24"/>
                <w:lang w:eastAsia="en-GB"/>
              </w:rPr>
            </w:pPr>
            <w:r w:rsidRPr="0090476B">
              <w:rPr>
                <w:rFonts w:ascii="Arial" w:eastAsia="Times New Roman" w:hAnsi="Arial" w:cs="Arial"/>
                <w:kern w:val="24"/>
                <w:sz w:val="24"/>
                <w:szCs w:val="24"/>
                <w:lang w:eastAsia="en-GB"/>
              </w:rPr>
              <w:t>Advice on this should be based on currently available treatment and not on the prospect of scientists discovering a cure in the future</w:t>
            </w:r>
          </w:p>
        </w:tc>
        <w:tc>
          <w:tcPr>
            <w:tcW w:w="2786" w:type="dxa"/>
            <w:shd w:val="clear" w:color="auto" w:fill="auto"/>
            <w:tcMar>
              <w:top w:w="15" w:type="dxa"/>
              <w:left w:w="95" w:type="dxa"/>
              <w:bottom w:w="0" w:type="dxa"/>
              <w:right w:w="95" w:type="dxa"/>
            </w:tcMar>
            <w:hideMark/>
          </w:tcPr>
          <w:p w14:paraId="092F8B23" w14:textId="05EE5C5D" w:rsidR="00441B8B" w:rsidRPr="0090476B" w:rsidRDefault="00441B8B" w:rsidP="00D5333D">
            <w:pPr>
              <w:spacing w:after="0" w:line="240" w:lineRule="auto"/>
              <w:rPr>
                <w:rFonts w:ascii="Arial" w:eastAsia="Times New Roman" w:hAnsi="Arial" w:cs="Arial"/>
                <w:sz w:val="24"/>
                <w:szCs w:val="24"/>
                <w:lang w:eastAsia="en-GB"/>
              </w:rPr>
            </w:pPr>
            <w:r w:rsidRPr="0090476B">
              <w:rPr>
                <w:rFonts w:ascii="Arial" w:eastAsia="Times New Roman" w:hAnsi="Arial" w:cs="Arial"/>
                <w:kern w:val="24"/>
                <w:sz w:val="24"/>
                <w:szCs w:val="24"/>
                <w:lang w:eastAsia="en-GB"/>
              </w:rPr>
              <w:t>As per criteri</w:t>
            </w:r>
            <w:r w:rsidR="00D5333D" w:rsidRPr="0090476B">
              <w:rPr>
                <w:rFonts w:ascii="Arial" w:eastAsia="Times New Roman" w:hAnsi="Arial" w:cs="Arial"/>
                <w:kern w:val="24"/>
                <w:sz w:val="24"/>
                <w:szCs w:val="24"/>
                <w:lang w:eastAsia="en-GB"/>
              </w:rPr>
              <w:t>on</w:t>
            </w:r>
            <w:r w:rsidRPr="0090476B">
              <w:rPr>
                <w:rFonts w:ascii="Arial" w:eastAsia="Times New Roman" w:hAnsi="Arial" w:cs="Arial"/>
                <w:kern w:val="24"/>
                <w:sz w:val="24"/>
                <w:szCs w:val="24"/>
                <w:lang w:eastAsia="en-GB"/>
              </w:rPr>
              <w:t xml:space="preserve"> 1</w:t>
            </w:r>
          </w:p>
        </w:tc>
        <w:tc>
          <w:tcPr>
            <w:tcW w:w="2835" w:type="dxa"/>
            <w:shd w:val="clear" w:color="auto" w:fill="auto"/>
            <w:tcMar>
              <w:top w:w="15" w:type="dxa"/>
              <w:left w:w="95" w:type="dxa"/>
              <w:bottom w:w="0" w:type="dxa"/>
              <w:right w:w="95" w:type="dxa"/>
            </w:tcMar>
            <w:hideMark/>
          </w:tcPr>
          <w:p w14:paraId="7FF973BC" w14:textId="77777777" w:rsidR="00441B8B" w:rsidRPr="0090476B" w:rsidRDefault="0043385D" w:rsidP="00127539">
            <w:pPr>
              <w:spacing w:after="0" w:line="240" w:lineRule="auto"/>
              <w:rPr>
                <w:rFonts w:ascii="Arial" w:eastAsia="Times New Roman" w:hAnsi="Arial" w:cs="Arial"/>
                <w:sz w:val="24"/>
                <w:szCs w:val="24"/>
                <w:lang w:eastAsia="en-GB"/>
              </w:rPr>
            </w:pPr>
            <w:r w:rsidRPr="0090476B">
              <w:rPr>
                <w:rFonts w:ascii="Arial" w:eastAsia="Times New Roman" w:hAnsi="Arial" w:cs="Arial"/>
                <w:kern w:val="24"/>
                <w:sz w:val="24"/>
                <w:szCs w:val="24"/>
                <w:lang w:eastAsia="en-GB"/>
              </w:rPr>
              <w:t>A person within the first 12 months following a significant stroke who may recover function during rehabilitation , so whilst the condition is lifelong, function might improve</w:t>
            </w:r>
          </w:p>
        </w:tc>
      </w:tr>
      <w:tr w:rsidR="00441B8B" w:rsidRPr="0090476B" w14:paraId="66CBD15D" w14:textId="77777777" w:rsidTr="00D15F46">
        <w:trPr>
          <w:trHeight w:val="1242"/>
        </w:trPr>
        <w:tc>
          <w:tcPr>
            <w:tcW w:w="2185" w:type="dxa"/>
            <w:shd w:val="clear" w:color="auto" w:fill="auto"/>
            <w:tcMar>
              <w:top w:w="15" w:type="dxa"/>
              <w:left w:w="95" w:type="dxa"/>
              <w:bottom w:w="0" w:type="dxa"/>
              <w:right w:w="95" w:type="dxa"/>
            </w:tcMar>
            <w:hideMark/>
          </w:tcPr>
          <w:p w14:paraId="0728A9A2" w14:textId="77777777" w:rsidR="00441B8B" w:rsidRPr="0090476B" w:rsidRDefault="00441B8B" w:rsidP="00127539">
            <w:pPr>
              <w:spacing w:after="0" w:line="240" w:lineRule="auto"/>
              <w:rPr>
                <w:rFonts w:ascii="Arial" w:eastAsia="Times New Roman" w:hAnsi="Arial" w:cs="Arial"/>
                <w:b/>
                <w:sz w:val="24"/>
                <w:szCs w:val="24"/>
                <w:lang w:eastAsia="en-GB"/>
              </w:rPr>
            </w:pPr>
            <w:r w:rsidRPr="0090476B">
              <w:rPr>
                <w:rFonts w:ascii="Arial" w:eastAsia="Times New Roman" w:hAnsi="Arial" w:cs="Arial"/>
                <w:b/>
                <w:bCs/>
                <w:kern w:val="24"/>
                <w:sz w:val="24"/>
                <w:szCs w:val="24"/>
                <w:lang w:eastAsia="en-GB"/>
              </w:rPr>
              <w:t>Unambiguous condition</w:t>
            </w:r>
          </w:p>
          <w:p w14:paraId="3E006074" w14:textId="77777777" w:rsidR="00441B8B" w:rsidRPr="0090476B" w:rsidRDefault="00441B8B" w:rsidP="00127539">
            <w:pPr>
              <w:spacing w:after="0" w:line="240" w:lineRule="auto"/>
              <w:rPr>
                <w:rFonts w:ascii="Arial" w:eastAsia="Times New Roman" w:hAnsi="Arial" w:cs="Arial"/>
                <w:b/>
                <w:sz w:val="24"/>
                <w:szCs w:val="24"/>
                <w:lang w:eastAsia="en-GB"/>
              </w:rPr>
            </w:pPr>
          </w:p>
        </w:tc>
        <w:tc>
          <w:tcPr>
            <w:tcW w:w="2112" w:type="dxa"/>
            <w:shd w:val="clear" w:color="auto" w:fill="auto"/>
            <w:tcMar>
              <w:top w:w="15" w:type="dxa"/>
              <w:left w:w="95" w:type="dxa"/>
              <w:bottom w:w="0" w:type="dxa"/>
              <w:right w:w="95" w:type="dxa"/>
            </w:tcMar>
            <w:hideMark/>
          </w:tcPr>
          <w:p w14:paraId="2F810940" w14:textId="302D6D4E" w:rsidR="00441B8B" w:rsidRPr="0090476B" w:rsidRDefault="00441B8B" w:rsidP="00D5333D">
            <w:pPr>
              <w:spacing w:after="0" w:line="240" w:lineRule="auto"/>
              <w:rPr>
                <w:rFonts w:ascii="Arial" w:eastAsia="Times New Roman" w:hAnsi="Arial" w:cs="Arial"/>
                <w:sz w:val="24"/>
                <w:szCs w:val="24"/>
                <w:lang w:eastAsia="en-GB"/>
              </w:rPr>
            </w:pPr>
            <w:r w:rsidRPr="0090476B">
              <w:rPr>
                <w:rFonts w:ascii="Arial" w:eastAsia="Times New Roman" w:hAnsi="Arial" w:cs="Arial"/>
                <w:kern w:val="24"/>
                <w:sz w:val="24"/>
                <w:szCs w:val="24"/>
                <w:lang w:eastAsia="en-GB"/>
              </w:rPr>
              <w:t>They have been through relevant clinical</w:t>
            </w:r>
            <w:r w:rsidR="00D5333D" w:rsidRPr="0090476B">
              <w:rPr>
                <w:rFonts w:ascii="Arial" w:eastAsia="Times New Roman" w:hAnsi="Arial" w:cs="Arial"/>
                <w:kern w:val="24"/>
                <w:sz w:val="24"/>
                <w:szCs w:val="24"/>
                <w:lang w:eastAsia="en-GB"/>
              </w:rPr>
              <w:t xml:space="preserve"> investigation and a recognised medical diagnosis has been made  </w:t>
            </w:r>
            <w:r w:rsidRPr="0090476B">
              <w:rPr>
                <w:rFonts w:ascii="Arial" w:eastAsia="Times New Roman" w:hAnsi="Arial" w:cs="Arial"/>
                <w:kern w:val="24"/>
                <w:sz w:val="24"/>
                <w:szCs w:val="24"/>
                <w:lang w:eastAsia="en-GB"/>
              </w:rPr>
              <w:t xml:space="preserve"> </w:t>
            </w:r>
          </w:p>
        </w:tc>
        <w:tc>
          <w:tcPr>
            <w:tcW w:w="2786" w:type="dxa"/>
            <w:shd w:val="clear" w:color="auto" w:fill="auto"/>
            <w:tcMar>
              <w:top w:w="15" w:type="dxa"/>
              <w:left w:w="95" w:type="dxa"/>
              <w:bottom w:w="0" w:type="dxa"/>
              <w:right w:w="95" w:type="dxa"/>
            </w:tcMar>
            <w:hideMark/>
          </w:tcPr>
          <w:p w14:paraId="044C9E31" w14:textId="59C71CEB" w:rsidR="00441B8B" w:rsidRPr="0090476B" w:rsidRDefault="00441B8B" w:rsidP="00127539">
            <w:pPr>
              <w:spacing w:after="0" w:line="240" w:lineRule="auto"/>
              <w:rPr>
                <w:rFonts w:ascii="Arial" w:eastAsia="Times New Roman" w:hAnsi="Arial" w:cs="Arial"/>
                <w:sz w:val="24"/>
                <w:szCs w:val="24"/>
                <w:lang w:eastAsia="en-GB"/>
              </w:rPr>
            </w:pPr>
          </w:p>
        </w:tc>
        <w:tc>
          <w:tcPr>
            <w:tcW w:w="2835" w:type="dxa"/>
            <w:shd w:val="clear" w:color="auto" w:fill="auto"/>
            <w:tcMar>
              <w:top w:w="15" w:type="dxa"/>
              <w:left w:w="95" w:type="dxa"/>
              <w:bottom w:w="0" w:type="dxa"/>
              <w:right w:w="95" w:type="dxa"/>
            </w:tcMar>
            <w:hideMark/>
          </w:tcPr>
          <w:p w14:paraId="0A5D6B49" w14:textId="77777777" w:rsidR="00BE0BA2" w:rsidRPr="0090476B" w:rsidRDefault="00BE0BA2" w:rsidP="00BE0BA2">
            <w:pPr>
              <w:spacing w:after="0" w:line="240" w:lineRule="auto"/>
              <w:rPr>
                <w:rFonts w:ascii="Arial" w:eastAsia="Times New Roman" w:hAnsi="Arial" w:cs="Arial"/>
                <w:kern w:val="24"/>
                <w:sz w:val="24"/>
                <w:szCs w:val="24"/>
                <w:lang w:eastAsia="en-GB"/>
              </w:rPr>
            </w:pPr>
            <w:r w:rsidRPr="0090476B">
              <w:rPr>
                <w:rFonts w:ascii="Arial" w:eastAsia="Times New Roman" w:hAnsi="Arial" w:cs="Arial"/>
                <w:kern w:val="24"/>
                <w:sz w:val="24"/>
                <w:szCs w:val="24"/>
                <w:lang w:eastAsia="en-GB"/>
              </w:rPr>
              <w:t xml:space="preserve">Non-specific symptoms not formally diagnosed or still undergoing investigation </w:t>
            </w:r>
          </w:p>
          <w:p w14:paraId="3CE98CD0" w14:textId="46AD41D1" w:rsidR="00441B8B" w:rsidRPr="0090476B" w:rsidRDefault="00BE0BA2" w:rsidP="00BE0BA2">
            <w:pPr>
              <w:spacing w:after="0" w:line="240" w:lineRule="auto"/>
              <w:rPr>
                <w:rFonts w:ascii="Arial" w:eastAsia="Times New Roman" w:hAnsi="Arial" w:cs="Arial"/>
                <w:sz w:val="24"/>
                <w:szCs w:val="24"/>
                <w:lang w:eastAsia="en-GB"/>
              </w:rPr>
            </w:pPr>
            <w:r w:rsidRPr="0090476B">
              <w:rPr>
                <w:rFonts w:ascii="Arial" w:eastAsia="Times New Roman" w:hAnsi="Arial" w:cs="Arial"/>
                <w:kern w:val="24"/>
                <w:sz w:val="24"/>
                <w:szCs w:val="24"/>
                <w:lang w:eastAsia="en-GB"/>
              </w:rPr>
              <w:t xml:space="preserve"> </w:t>
            </w:r>
          </w:p>
        </w:tc>
      </w:tr>
    </w:tbl>
    <w:p w14:paraId="342BD9C4" w14:textId="77777777" w:rsidR="00043CA5" w:rsidRPr="0090476B" w:rsidRDefault="00043CA5" w:rsidP="00441B8B">
      <w:pPr>
        <w:kinsoku w:val="0"/>
        <w:overflowPunct w:val="0"/>
        <w:textAlignment w:val="baseline"/>
        <w:rPr>
          <w:rFonts w:ascii="Arial" w:hAnsi="Arial" w:cs="Arial"/>
          <w:sz w:val="24"/>
          <w:szCs w:val="24"/>
        </w:rPr>
      </w:pPr>
    </w:p>
    <w:p w14:paraId="7A5B0F37" w14:textId="77777777" w:rsidR="008873E1" w:rsidRPr="0090476B" w:rsidRDefault="006A1561" w:rsidP="00441B8B">
      <w:pPr>
        <w:pStyle w:val="Style1"/>
      </w:pPr>
      <w:r w:rsidRPr="0090476B">
        <w:t>If a</w:t>
      </w:r>
      <w:r w:rsidR="0043385D" w:rsidRPr="0090476B">
        <w:t>ll</w:t>
      </w:r>
      <w:r w:rsidRPr="0090476B">
        <w:t xml:space="preserve"> of the above </w:t>
      </w:r>
      <w:r w:rsidR="0043385D" w:rsidRPr="0090476B">
        <w:t xml:space="preserve">and any of the </w:t>
      </w:r>
      <w:r w:rsidRPr="0090476B">
        <w:t>LCWRA</w:t>
      </w:r>
      <w:r w:rsidR="008873E1" w:rsidRPr="0090476B">
        <w:t xml:space="preserve"> criteria are met, advise the decision maker that the claimant has a Severe Condition and has LCWRA. </w:t>
      </w:r>
    </w:p>
    <w:p w14:paraId="1263BBD3" w14:textId="77777777" w:rsidR="00441B8B" w:rsidRPr="0090476B" w:rsidRDefault="00441B8B" w:rsidP="00441B8B">
      <w:pPr>
        <w:pStyle w:val="Style1"/>
        <w:numPr>
          <w:ilvl w:val="0"/>
          <w:numId w:val="0"/>
        </w:numPr>
        <w:ind w:left="360"/>
      </w:pPr>
    </w:p>
    <w:p w14:paraId="17295776" w14:textId="77777777" w:rsidR="00441B8B" w:rsidRPr="0090476B" w:rsidRDefault="008873E1" w:rsidP="00441B8B">
      <w:pPr>
        <w:pStyle w:val="Style1"/>
      </w:pPr>
      <w:r w:rsidRPr="0090476B">
        <w:t xml:space="preserve">As per </w:t>
      </w:r>
      <w:proofErr w:type="spellStart"/>
      <w:r w:rsidRPr="0090476B">
        <w:t>filework</w:t>
      </w:r>
      <w:proofErr w:type="spellEnd"/>
      <w:r w:rsidRPr="0090476B">
        <w:t xml:space="preserve"> guidelines request further evidence if it is possible that one or more of the </w:t>
      </w:r>
      <w:r w:rsidR="006A1561" w:rsidRPr="0090476B">
        <w:t>LCWRA</w:t>
      </w:r>
      <w:r w:rsidRPr="0090476B">
        <w:t xml:space="preserve"> criteria might be met but the information has not been provided.</w:t>
      </w:r>
    </w:p>
    <w:p w14:paraId="280CFA1F" w14:textId="77777777" w:rsidR="00EF1B4A" w:rsidRPr="0090476B" w:rsidRDefault="00EF1B4A" w:rsidP="00AA35D3">
      <w:pPr>
        <w:pStyle w:val="Style1"/>
        <w:numPr>
          <w:ilvl w:val="0"/>
          <w:numId w:val="0"/>
        </w:numPr>
      </w:pPr>
    </w:p>
    <w:p w14:paraId="14E45034" w14:textId="77777777" w:rsidR="00EF1B4A" w:rsidRPr="0090476B" w:rsidRDefault="00EF1B4A" w:rsidP="00EF1B4A">
      <w:pPr>
        <w:pStyle w:val="Style1"/>
      </w:pPr>
      <w:r w:rsidRPr="0090476B">
        <w:t xml:space="preserve">Any request for further evidence should be based on indicators in the clinical information available to you.  </w:t>
      </w:r>
    </w:p>
    <w:p w14:paraId="15E5A5AC" w14:textId="77777777" w:rsidR="00EF1B4A" w:rsidRPr="0090476B" w:rsidRDefault="00EF1B4A" w:rsidP="00EF1B4A">
      <w:pPr>
        <w:pStyle w:val="Style1"/>
        <w:numPr>
          <w:ilvl w:val="0"/>
          <w:numId w:val="0"/>
        </w:numPr>
        <w:ind w:left="360"/>
      </w:pPr>
    </w:p>
    <w:p w14:paraId="2611759A" w14:textId="2C7BE9FC" w:rsidR="00BE0BA2" w:rsidRPr="0090476B" w:rsidRDefault="00BE0BA2" w:rsidP="00D547F2">
      <w:pPr>
        <w:pStyle w:val="Style1"/>
      </w:pPr>
      <w:r w:rsidRPr="0090476B">
        <w:t xml:space="preserve">Where </w:t>
      </w:r>
      <w:r w:rsidR="003926CE" w:rsidRPr="0090476B">
        <w:t xml:space="preserve">further evidence </w:t>
      </w:r>
      <w:r w:rsidRPr="0090476B">
        <w:t xml:space="preserve">is </w:t>
      </w:r>
      <w:r w:rsidR="002D7BD0" w:rsidRPr="0090476B">
        <w:t xml:space="preserve">considered necessary </w:t>
      </w:r>
      <w:r w:rsidRPr="0090476B">
        <w:t xml:space="preserve">to enable advice regarding review or no review for a longer term prognosis </w:t>
      </w:r>
      <w:r w:rsidR="003926CE" w:rsidRPr="0090476B">
        <w:t>further medical evidence r</w:t>
      </w:r>
      <w:r w:rsidRPr="0090476B">
        <w:t xml:space="preserve">eview should always be chosen. As per current process only one request for written medical evidence should </w:t>
      </w:r>
      <w:r w:rsidR="00A73F3E" w:rsidRPr="0090476B">
        <w:t xml:space="preserve">normally </w:t>
      </w:r>
      <w:r w:rsidRPr="0090476B">
        <w:t xml:space="preserve">be made and at review only one telephone attempt to chase the evidence is required. If the claimant or their representative needs to be contacted for further evidence then a maximum of two telephone calls should be made. These should be documented on an FRR4. If the evidence is </w:t>
      </w:r>
      <w:r w:rsidR="00D15F46">
        <w:t>n</w:t>
      </w:r>
      <w:r w:rsidR="0090476B" w:rsidRPr="0090476B">
        <w:t>ot available</w:t>
      </w:r>
      <w:r w:rsidRPr="0090476B">
        <w:t xml:space="preserve">, you cannot advise that the claimant has a Severe Condition and normal </w:t>
      </w:r>
      <w:proofErr w:type="spellStart"/>
      <w:r w:rsidRPr="0090476B">
        <w:t>filework</w:t>
      </w:r>
      <w:proofErr w:type="spellEnd"/>
      <w:r w:rsidRPr="0090476B">
        <w:t xml:space="preserve"> case control action applies.</w:t>
      </w:r>
    </w:p>
    <w:p w14:paraId="06D95EAE" w14:textId="77777777" w:rsidR="00BE0BA2" w:rsidRPr="0090476B" w:rsidRDefault="00BE0BA2" w:rsidP="003926CE">
      <w:pPr>
        <w:pStyle w:val="ListParagraph"/>
        <w:rPr>
          <w:rFonts w:ascii="Arial" w:hAnsi="Arial" w:cs="Arial"/>
        </w:rPr>
      </w:pPr>
    </w:p>
    <w:p w14:paraId="4D8D11EE" w14:textId="77777777" w:rsidR="00441B8B" w:rsidRPr="0090476B" w:rsidRDefault="00441B8B" w:rsidP="00441B8B">
      <w:pPr>
        <w:pStyle w:val="Style1"/>
        <w:rPr>
          <w:b/>
        </w:rPr>
      </w:pPr>
      <w:proofErr w:type="spellStart"/>
      <w:r w:rsidRPr="0090476B">
        <w:t>Filework</w:t>
      </w:r>
      <w:proofErr w:type="spellEnd"/>
      <w:r w:rsidRPr="0090476B">
        <w:t xml:space="preserve"> HCPs should not default to calling a claimant to an assessment if the evidence required to meet the criteria is not available. If at </w:t>
      </w:r>
      <w:proofErr w:type="spellStart"/>
      <w:r w:rsidRPr="0090476B">
        <w:t>filework</w:t>
      </w:r>
      <w:proofErr w:type="spellEnd"/>
      <w:r w:rsidRPr="0090476B">
        <w:t xml:space="preserve"> a HCP feels that enough evidence is </w:t>
      </w:r>
      <w:r w:rsidR="00EF1B4A" w:rsidRPr="0090476B">
        <w:t xml:space="preserve">available </w:t>
      </w:r>
      <w:r w:rsidRPr="0090476B">
        <w:t xml:space="preserve">on which a LCWRA ‘in the longer term’ recommendation can be made, but is unable to make a recommendation based on the Severe Conditions criteria, the advice is that they do not seek to call for exam but instead make a paper-based recommendation that change is not expected ‘in the longer-term’. The reason being that DWP believes that to increase the burden on this group of claimants would be unnecessary and go against the spirit of the policy announcement. </w:t>
      </w:r>
    </w:p>
    <w:p w14:paraId="37F5BF76" w14:textId="77777777" w:rsidR="008873E1" w:rsidRPr="0090476B" w:rsidRDefault="008873E1" w:rsidP="00441B8B">
      <w:pPr>
        <w:pStyle w:val="Style1"/>
        <w:numPr>
          <w:ilvl w:val="0"/>
          <w:numId w:val="0"/>
        </w:numPr>
      </w:pPr>
    </w:p>
    <w:p w14:paraId="69BEF033" w14:textId="77777777" w:rsidR="008873E1" w:rsidRPr="0090476B" w:rsidRDefault="008873E1" w:rsidP="00441B8B">
      <w:pPr>
        <w:pStyle w:val="Style1"/>
      </w:pPr>
      <w:r w:rsidRPr="0090476B">
        <w:t>If none of the criteria are met, continue with normal case action.</w:t>
      </w:r>
    </w:p>
    <w:p w14:paraId="5D11C8AA" w14:textId="77777777" w:rsidR="00441B8B" w:rsidRPr="0090476B" w:rsidRDefault="00441B8B" w:rsidP="00441B8B">
      <w:pPr>
        <w:pStyle w:val="ListParagraph"/>
        <w:rPr>
          <w:rFonts w:ascii="Arial" w:hAnsi="Arial" w:cs="Arial"/>
        </w:rPr>
      </w:pPr>
    </w:p>
    <w:p w14:paraId="0E4C106E" w14:textId="77777777" w:rsidR="00441B8B" w:rsidRPr="0090476B" w:rsidRDefault="00441B8B" w:rsidP="00441B8B">
      <w:pPr>
        <w:pStyle w:val="Style1"/>
      </w:pPr>
      <w:r w:rsidRPr="0090476B">
        <w:t>A</w:t>
      </w:r>
      <w:r w:rsidR="00C56843" w:rsidRPr="0090476B">
        <w:t>n</w:t>
      </w:r>
      <w:r w:rsidRPr="0090476B">
        <w:t xml:space="preserve"> HCP’s default position should be that a future review is required. If you</w:t>
      </w:r>
      <w:r w:rsidR="00C56843" w:rsidRPr="0090476B">
        <w:t xml:space="preserve"> are certain</w:t>
      </w:r>
      <w:r w:rsidRPr="0090476B">
        <w:t xml:space="preserve"> that the evidence indicates that a claimant meets the Severe Conditions criteria, and a future review is therefore not required, this should be fully justified.</w:t>
      </w:r>
    </w:p>
    <w:p w14:paraId="171F0A4E" w14:textId="77777777" w:rsidR="00441B8B" w:rsidRPr="003926CE" w:rsidRDefault="00441B8B" w:rsidP="00441B8B">
      <w:pPr>
        <w:pStyle w:val="Style1"/>
        <w:numPr>
          <w:ilvl w:val="0"/>
          <w:numId w:val="0"/>
        </w:numPr>
      </w:pPr>
    </w:p>
    <w:p w14:paraId="3B2143EC" w14:textId="77777777" w:rsidR="009E0AFA" w:rsidRDefault="009E0AFA" w:rsidP="009E0AFA">
      <w:pPr>
        <w:pStyle w:val="Default"/>
        <w:spacing w:before="240"/>
        <w:jc w:val="both"/>
        <w:rPr>
          <w:i/>
          <w:iCs/>
          <w:sz w:val="22"/>
          <w:szCs w:val="22"/>
        </w:rPr>
      </w:pPr>
      <w:r>
        <w:rPr>
          <w:i/>
          <w:iCs/>
          <w:sz w:val="22"/>
          <w:szCs w:val="22"/>
        </w:rPr>
        <w:lastRenderedPageBreak/>
        <w:t xml:space="preserve">This training has been produced as part of a training programme for Healthcare Professionals approved by the Department for Work and Pensions to carry out benefit assessment work. </w:t>
      </w:r>
    </w:p>
    <w:p w14:paraId="06377C12" w14:textId="77777777" w:rsidR="009E0AFA" w:rsidRDefault="009E0AFA" w:rsidP="009E0AFA">
      <w:pPr>
        <w:pStyle w:val="Default"/>
        <w:spacing w:before="240"/>
        <w:jc w:val="both"/>
        <w:rPr>
          <w:i/>
          <w:iCs/>
          <w:sz w:val="22"/>
          <w:szCs w:val="22"/>
        </w:rPr>
      </w:pPr>
      <w:r>
        <w:rPr>
          <w:i/>
          <w:iCs/>
          <w:sz w:val="22"/>
          <w:szCs w:val="22"/>
        </w:rPr>
        <w:t xml:space="preserve">All Healthcare Professionals undertaking assessments must be registered practitioners, who in addition, have undergone training in disability assessment medicine and specific training in the relevant benefit areas. The training includes theory training in a classroom setting, supervised practical training, and a demonstration of understanding as assessed by quality audit. </w:t>
      </w:r>
    </w:p>
    <w:p w14:paraId="199F6F05" w14:textId="77777777" w:rsidR="009E0AFA" w:rsidRDefault="009E0AFA" w:rsidP="009E0AFA">
      <w:pPr>
        <w:pStyle w:val="Default"/>
        <w:spacing w:before="240"/>
        <w:jc w:val="both"/>
        <w:rPr>
          <w:i/>
          <w:iCs/>
          <w:sz w:val="22"/>
          <w:szCs w:val="22"/>
        </w:rPr>
      </w:pPr>
      <w:r>
        <w:rPr>
          <w:i/>
          <w:iCs/>
          <w:sz w:val="22"/>
          <w:szCs w:val="22"/>
        </w:rPr>
        <w:t xml:space="preserve">This Handbook should be read with the understanding that, as experienced practitioners, the Healthcare Professionals will have detailed knowledge of the principles and practice of relevant diagnostic techniques, and therefore such information is not included. </w:t>
      </w:r>
    </w:p>
    <w:p w14:paraId="1472DA4D" w14:textId="77777777" w:rsidR="009E0AFA" w:rsidRDefault="009E0AFA" w:rsidP="009E0AFA">
      <w:pPr>
        <w:pStyle w:val="Default"/>
        <w:spacing w:before="240"/>
        <w:jc w:val="both"/>
        <w:rPr>
          <w:i/>
          <w:iCs/>
          <w:sz w:val="22"/>
          <w:szCs w:val="22"/>
        </w:rPr>
      </w:pPr>
      <w:r>
        <w:rPr>
          <w:i/>
          <w:iCs/>
          <w:sz w:val="22"/>
          <w:szCs w:val="22"/>
        </w:rPr>
        <w:t xml:space="preserve">In addition, this Handbook is not a stand-alone document, and forms only a part of the training and written documentation that a Healthcare Professional receives. As disability assessment is a practical occupation, much of the guidance also involves verbal information and coaching. </w:t>
      </w:r>
    </w:p>
    <w:p w14:paraId="152D7A64" w14:textId="77777777" w:rsidR="009E0AFA" w:rsidRDefault="009E0AFA" w:rsidP="009E0AFA">
      <w:pPr>
        <w:rPr>
          <w:rFonts w:ascii="Arial" w:hAnsi="Arial" w:cs="Arial"/>
          <w:i/>
          <w:iCs/>
        </w:rPr>
      </w:pPr>
    </w:p>
    <w:p w14:paraId="0CBD0D92" w14:textId="77777777" w:rsidR="009E0AFA" w:rsidRDefault="009E0AFA" w:rsidP="009E0AFA">
      <w:pPr>
        <w:rPr>
          <w:rFonts w:ascii="Arial" w:hAnsi="Arial" w:cs="Arial"/>
          <w:i/>
          <w:iCs/>
          <w:color w:val="1F497D"/>
        </w:rPr>
      </w:pPr>
      <w:r>
        <w:rPr>
          <w:rFonts w:ascii="Arial" w:hAnsi="Arial" w:cs="Arial"/>
          <w:i/>
          <w:iCs/>
        </w:rPr>
        <w:t>Thus, although the Handbook may be of interest to non-medical readers, it must be remembered that some of the information may not be readily understood without background medical knowledge and an awareness of the other training given to Healthcare Professionals.</w:t>
      </w:r>
    </w:p>
    <w:p w14:paraId="4BBE5934" w14:textId="77777777" w:rsidR="009E0AFA" w:rsidRDefault="009E0AFA" w:rsidP="009E0AFA">
      <w:pPr>
        <w:rPr>
          <w:rFonts w:ascii="Arial" w:hAnsi="Arial" w:cs="Arial"/>
          <w:color w:val="1F497D"/>
        </w:rPr>
      </w:pPr>
    </w:p>
    <w:p w14:paraId="6070FE73" w14:textId="77777777" w:rsidR="009E0AFA" w:rsidRDefault="009E0AFA" w:rsidP="009E0AFA">
      <w:pPr>
        <w:rPr>
          <w:rFonts w:ascii="Arial" w:hAnsi="Arial" w:cs="Arial"/>
          <w:color w:val="1F497D"/>
        </w:rPr>
      </w:pPr>
    </w:p>
    <w:p w14:paraId="69DE6475" w14:textId="77777777" w:rsidR="009E0AFA" w:rsidRDefault="009E0AFA" w:rsidP="009E0AFA">
      <w:pPr>
        <w:rPr>
          <w:rFonts w:ascii="Arial" w:hAnsi="Arial" w:cs="Arial"/>
          <w:i/>
          <w:iCs/>
        </w:rPr>
      </w:pPr>
      <w:r>
        <w:rPr>
          <w:rFonts w:ascii="Arial" w:hAnsi="Arial" w:cs="Arial"/>
          <w:i/>
          <w:iCs/>
        </w:rPr>
        <w:t>Most documents produced by DWP and/or Centre for Health and Disability Assessment will be protected by Crown Copyright. Most Crown copyright information can be re-used under the Open Government Licence (</w:t>
      </w:r>
      <w:hyperlink r:id="rId8" w:tooltip="blocked::http://www.nationalarchives.gov.uk/doc/open-government-licence/" w:history="1">
        <w:r>
          <w:rPr>
            <w:rStyle w:val="Hyperlink"/>
            <w:rFonts w:ascii="Arial" w:hAnsi="Arial" w:cs="Arial"/>
            <w:i/>
            <w:iCs/>
          </w:rPr>
          <w:t>http://www.nationalarchives.gov.uk/doc/open-government-licence/</w:t>
        </w:r>
      </w:hyperlink>
      <w:r>
        <w:rPr>
          <w:rFonts w:ascii="Arial" w:hAnsi="Arial" w:cs="Arial"/>
          <w:i/>
          <w:iCs/>
        </w:rPr>
        <w:t>). For information about the OGL and about re-using Crown Copyright information please see The National Archives website -</w:t>
      </w:r>
      <w:hyperlink r:id="rId9" w:tooltip="blocked::http://www.nationalarchives.gov.uk/information-management/uk-gov-licensing-framework.htm" w:history="1">
        <w:r>
          <w:rPr>
            <w:rStyle w:val="Hyperlink"/>
            <w:rFonts w:ascii="Arial" w:hAnsi="Arial" w:cs="Arial"/>
            <w:i/>
            <w:iCs/>
          </w:rPr>
          <w:t>http://www.nationalarchives.gov.uk/information-management/uk-gov-licensing-framework.htm</w:t>
        </w:r>
      </w:hyperlink>
      <w:r>
        <w:rPr>
          <w:rFonts w:ascii="Arial" w:hAnsi="Arial" w:cs="Arial"/>
          <w:i/>
          <w:iCs/>
        </w:rPr>
        <w:t xml:space="preserve"> . </w:t>
      </w:r>
    </w:p>
    <w:p w14:paraId="13C0BED0" w14:textId="77777777" w:rsidR="009E0AFA" w:rsidRDefault="009E0AFA" w:rsidP="009E0AFA">
      <w:pPr>
        <w:rPr>
          <w:rFonts w:ascii="Arial" w:hAnsi="Arial" w:cs="Arial"/>
          <w:i/>
          <w:iCs/>
        </w:rPr>
      </w:pPr>
    </w:p>
    <w:p w14:paraId="6464F106" w14:textId="77777777" w:rsidR="009E0AFA" w:rsidRDefault="009E0AFA" w:rsidP="009E0AFA">
      <w:pPr>
        <w:rPr>
          <w:rFonts w:ascii="Arial" w:hAnsi="Arial" w:cs="Arial"/>
          <w:i/>
          <w:iCs/>
        </w:rPr>
      </w:pPr>
      <w:r>
        <w:rPr>
          <w:rFonts w:ascii="Arial" w:hAnsi="Arial" w:cs="Arial"/>
          <w:i/>
          <w:iCs/>
        </w:rPr>
        <w:t xml:space="preserve">Copyright in other documents may rest with a third party. For information about obtaining permission from a third party see the Intellectual Property Office’s website at </w:t>
      </w:r>
      <w:hyperlink r:id="rId10" w:tooltip="blocked::http://www.ipo.gov.uk/" w:history="1">
        <w:r>
          <w:rPr>
            <w:rStyle w:val="Hyperlink"/>
            <w:rFonts w:ascii="Arial" w:hAnsi="Arial" w:cs="Arial"/>
            <w:i/>
            <w:iCs/>
          </w:rPr>
          <w:t>www.ipo.gov.uk</w:t>
        </w:r>
      </w:hyperlink>
      <w:r>
        <w:rPr>
          <w:rFonts w:ascii="Arial" w:hAnsi="Arial" w:cs="Arial"/>
          <w:i/>
          <w:iCs/>
        </w:rPr>
        <w:t>.</w:t>
      </w:r>
    </w:p>
    <w:p w14:paraId="0F7F6D9E" w14:textId="77777777" w:rsidR="009E0AFA" w:rsidRDefault="009E0AFA" w:rsidP="009E0AFA">
      <w:pPr>
        <w:rPr>
          <w:rFonts w:ascii="Arial" w:hAnsi="Arial" w:cs="Arial"/>
          <w:color w:val="1F497D"/>
          <w:sz w:val="24"/>
          <w:szCs w:val="24"/>
        </w:rPr>
      </w:pPr>
    </w:p>
    <w:p w14:paraId="1CDB0A9C" w14:textId="77777777" w:rsidR="008873E1" w:rsidRPr="003926CE" w:rsidRDefault="008873E1" w:rsidP="000B31C5">
      <w:pPr>
        <w:spacing w:line="240" w:lineRule="auto"/>
        <w:rPr>
          <w:rFonts w:ascii="Arial" w:hAnsi="Arial" w:cs="Arial"/>
          <w:b/>
          <w:sz w:val="24"/>
          <w:szCs w:val="24"/>
        </w:rPr>
      </w:pPr>
    </w:p>
    <w:sectPr w:rsidR="008873E1" w:rsidRPr="003926CE" w:rsidSect="00D15F46">
      <w:headerReference w:type="default" r:id="rId11"/>
      <w:footerReference w:type="default" r:id="rId12"/>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3D453" w14:textId="77777777" w:rsidR="00EA47B9" w:rsidRDefault="00EA47B9" w:rsidP="000B31C5">
      <w:pPr>
        <w:spacing w:after="0" w:line="240" w:lineRule="auto"/>
      </w:pPr>
      <w:r>
        <w:separator/>
      </w:r>
    </w:p>
  </w:endnote>
  <w:endnote w:type="continuationSeparator" w:id="0">
    <w:p w14:paraId="72FF7130" w14:textId="77777777" w:rsidR="00EA47B9" w:rsidRDefault="00EA47B9" w:rsidP="000B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EDFAC" w14:textId="77777777" w:rsidR="009E0AFA" w:rsidRPr="00EF25E5" w:rsidRDefault="007868EB">
    <w:pPr>
      <w:pStyle w:val="Footer"/>
      <w:rPr>
        <w:rFonts w:ascii="Arial" w:hAnsi="Arial" w:cs="Arial"/>
        <w:sz w:val="20"/>
        <w:szCs w:val="20"/>
      </w:rPr>
    </w:pPr>
    <w:r w:rsidRPr="00EF25E5">
      <w:rPr>
        <w:rFonts w:ascii="Arial" w:hAnsi="Arial" w:cs="Arial"/>
        <w:sz w:val="20"/>
        <w:szCs w:val="20"/>
      </w:rPr>
      <w:t xml:space="preserve">Version </w:t>
    </w:r>
    <w:r w:rsidR="000054B7" w:rsidRPr="00EF25E5">
      <w:rPr>
        <w:rFonts w:ascii="Arial" w:hAnsi="Arial" w:cs="Arial"/>
        <w:sz w:val="20"/>
        <w:szCs w:val="20"/>
      </w:rPr>
      <w:t>1.01</w:t>
    </w:r>
    <w:r w:rsidR="009E0AFA" w:rsidRPr="00EF25E5">
      <w:rPr>
        <w:rFonts w:ascii="Arial" w:hAnsi="Arial" w:cs="Arial"/>
        <w:sz w:val="20"/>
        <w:szCs w:val="20"/>
      </w:rPr>
      <w:t xml:space="preserve"> </w:t>
    </w:r>
  </w:p>
  <w:p w14:paraId="07735D22" w14:textId="10577B17" w:rsidR="009E0AFA" w:rsidRPr="00EF25E5" w:rsidRDefault="009E0AFA">
    <w:pPr>
      <w:pStyle w:val="Footer"/>
      <w:rPr>
        <w:rFonts w:ascii="Arial" w:hAnsi="Arial" w:cs="Arial"/>
        <w:sz w:val="20"/>
        <w:szCs w:val="20"/>
      </w:rPr>
    </w:pPr>
    <w:r w:rsidRPr="00EF25E5">
      <w:rPr>
        <w:rFonts w:ascii="Arial" w:hAnsi="Arial" w:cs="Arial"/>
        <w:sz w:val="20"/>
        <w:szCs w:val="20"/>
      </w:rPr>
      <w:t>29 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64787" w14:textId="77777777" w:rsidR="00EA47B9" w:rsidRDefault="00EA47B9" w:rsidP="000B31C5">
      <w:pPr>
        <w:spacing w:after="0" w:line="240" w:lineRule="auto"/>
      </w:pPr>
      <w:r>
        <w:separator/>
      </w:r>
    </w:p>
  </w:footnote>
  <w:footnote w:type="continuationSeparator" w:id="0">
    <w:p w14:paraId="0D14D70B" w14:textId="77777777" w:rsidR="00EA47B9" w:rsidRDefault="00EA47B9" w:rsidP="000B3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98381352"/>
      <w:docPartObj>
        <w:docPartGallery w:val="Page Numbers (Top of Page)"/>
        <w:docPartUnique/>
      </w:docPartObj>
    </w:sdtPr>
    <w:sdtEndPr/>
    <w:sdtContent>
      <w:p w14:paraId="104B5A3F" w14:textId="77777777" w:rsidR="009E0AFA" w:rsidRPr="009E0AFA" w:rsidRDefault="009E0AFA">
        <w:pPr>
          <w:pStyle w:val="Header"/>
          <w:rPr>
            <w:rFonts w:ascii="Arial" w:hAnsi="Arial" w:cs="Arial"/>
            <w:sz w:val="20"/>
            <w:szCs w:val="20"/>
          </w:rPr>
        </w:pPr>
        <w:r w:rsidRPr="009E0AFA">
          <w:rPr>
            <w:rFonts w:ascii="Arial" w:hAnsi="Arial" w:cs="Arial"/>
            <w:sz w:val="20"/>
            <w:szCs w:val="20"/>
          </w:rPr>
          <w:t xml:space="preserve">Page </w:t>
        </w:r>
        <w:r w:rsidRPr="009E0AFA">
          <w:rPr>
            <w:rFonts w:ascii="Arial" w:hAnsi="Arial" w:cs="Arial"/>
            <w:bCs/>
            <w:sz w:val="20"/>
            <w:szCs w:val="20"/>
          </w:rPr>
          <w:fldChar w:fldCharType="begin"/>
        </w:r>
        <w:r w:rsidRPr="009E0AFA">
          <w:rPr>
            <w:rFonts w:ascii="Arial" w:hAnsi="Arial" w:cs="Arial"/>
            <w:bCs/>
            <w:sz w:val="20"/>
            <w:szCs w:val="20"/>
          </w:rPr>
          <w:instrText xml:space="preserve"> PAGE </w:instrText>
        </w:r>
        <w:r w:rsidRPr="009E0AFA">
          <w:rPr>
            <w:rFonts w:ascii="Arial" w:hAnsi="Arial" w:cs="Arial"/>
            <w:bCs/>
            <w:sz w:val="20"/>
            <w:szCs w:val="20"/>
          </w:rPr>
          <w:fldChar w:fldCharType="separate"/>
        </w:r>
        <w:r w:rsidR="00EF25E5">
          <w:rPr>
            <w:rFonts w:ascii="Arial" w:hAnsi="Arial" w:cs="Arial"/>
            <w:bCs/>
            <w:noProof/>
            <w:sz w:val="20"/>
            <w:szCs w:val="20"/>
          </w:rPr>
          <w:t>3</w:t>
        </w:r>
        <w:r w:rsidRPr="009E0AFA">
          <w:rPr>
            <w:rFonts w:ascii="Arial" w:hAnsi="Arial" w:cs="Arial"/>
            <w:bCs/>
            <w:sz w:val="20"/>
            <w:szCs w:val="20"/>
          </w:rPr>
          <w:fldChar w:fldCharType="end"/>
        </w:r>
        <w:r w:rsidRPr="009E0AFA">
          <w:rPr>
            <w:rFonts w:ascii="Arial" w:hAnsi="Arial" w:cs="Arial"/>
            <w:sz w:val="20"/>
            <w:szCs w:val="20"/>
          </w:rPr>
          <w:t xml:space="preserve"> of </w:t>
        </w:r>
        <w:r w:rsidRPr="009E0AFA">
          <w:rPr>
            <w:rFonts w:ascii="Arial" w:hAnsi="Arial" w:cs="Arial"/>
            <w:bCs/>
            <w:sz w:val="20"/>
            <w:szCs w:val="20"/>
          </w:rPr>
          <w:fldChar w:fldCharType="begin"/>
        </w:r>
        <w:r w:rsidRPr="009E0AFA">
          <w:rPr>
            <w:rFonts w:ascii="Arial" w:hAnsi="Arial" w:cs="Arial"/>
            <w:bCs/>
            <w:sz w:val="20"/>
            <w:szCs w:val="20"/>
          </w:rPr>
          <w:instrText xml:space="preserve"> NUMPAGES  </w:instrText>
        </w:r>
        <w:r w:rsidRPr="009E0AFA">
          <w:rPr>
            <w:rFonts w:ascii="Arial" w:hAnsi="Arial" w:cs="Arial"/>
            <w:bCs/>
            <w:sz w:val="20"/>
            <w:szCs w:val="20"/>
          </w:rPr>
          <w:fldChar w:fldCharType="separate"/>
        </w:r>
        <w:r w:rsidR="00EF25E5">
          <w:rPr>
            <w:rFonts w:ascii="Arial" w:hAnsi="Arial" w:cs="Arial"/>
            <w:bCs/>
            <w:noProof/>
            <w:sz w:val="20"/>
            <w:szCs w:val="20"/>
          </w:rPr>
          <w:t>4</w:t>
        </w:r>
        <w:r w:rsidRPr="009E0AFA">
          <w:rPr>
            <w:rFonts w:ascii="Arial" w:hAnsi="Arial" w:cs="Arial"/>
            <w:bCs/>
            <w:sz w:val="20"/>
            <w:szCs w:val="20"/>
          </w:rPr>
          <w:fldChar w:fldCharType="end"/>
        </w:r>
      </w:p>
    </w:sdtContent>
  </w:sdt>
  <w:p w14:paraId="7DA83DF4" w14:textId="31450AEA" w:rsidR="007868EB" w:rsidRDefault="00786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36844"/>
    <w:multiLevelType w:val="hybridMultilevel"/>
    <w:tmpl w:val="890CFD0A"/>
    <w:lvl w:ilvl="0" w:tplc="105AA3DC">
      <w:start w:val="1"/>
      <w:numFmt w:val="bullet"/>
      <w:lvlText w:val="▪"/>
      <w:lvlJc w:val="left"/>
      <w:pPr>
        <w:tabs>
          <w:tab w:val="num" w:pos="720"/>
        </w:tabs>
        <w:ind w:left="720" w:hanging="360"/>
      </w:pPr>
      <w:rPr>
        <w:rFonts w:ascii="Arial" w:hAnsi="Arial" w:hint="default"/>
      </w:rPr>
    </w:lvl>
    <w:lvl w:ilvl="1" w:tplc="DF50A560" w:tentative="1">
      <w:start w:val="1"/>
      <w:numFmt w:val="bullet"/>
      <w:lvlText w:val="▪"/>
      <w:lvlJc w:val="left"/>
      <w:pPr>
        <w:tabs>
          <w:tab w:val="num" w:pos="1440"/>
        </w:tabs>
        <w:ind w:left="1440" w:hanging="360"/>
      </w:pPr>
      <w:rPr>
        <w:rFonts w:ascii="Arial" w:hAnsi="Arial" w:hint="default"/>
      </w:rPr>
    </w:lvl>
    <w:lvl w:ilvl="2" w:tplc="C21426DE" w:tentative="1">
      <w:start w:val="1"/>
      <w:numFmt w:val="bullet"/>
      <w:lvlText w:val="▪"/>
      <w:lvlJc w:val="left"/>
      <w:pPr>
        <w:tabs>
          <w:tab w:val="num" w:pos="2160"/>
        </w:tabs>
        <w:ind w:left="2160" w:hanging="360"/>
      </w:pPr>
      <w:rPr>
        <w:rFonts w:ascii="Arial" w:hAnsi="Arial" w:hint="default"/>
      </w:rPr>
    </w:lvl>
    <w:lvl w:ilvl="3" w:tplc="864A5D1C" w:tentative="1">
      <w:start w:val="1"/>
      <w:numFmt w:val="bullet"/>
      <w:lvlText w:val="▪"/>
      <w:lvlJc w:val="left"/>
      <w:pPr>
        <w:tabs>
          <w:tab w:val="num" w:pos="2880"/>
        </w:tabs>
        <w:ind w:left="2880" w:hanging="360"/>
      </w:pPr>
      <w:rPr>
        <w:rFonts w:ascii="Arial" w:hAnsi="Arial" w:hint="default"/>
      </w:rPr>
    </w:lvl>
    <w:lvl w:ilvl="4" w:tplc="6A128DDA" w:tentative="1">
      <w:start w:val="1"/>
      <w:numFmt w:val="bullet"/>
      <w:lvlText w:val="▪"/>
      <w:lvlJc w:val="left"/>
      <w:pPr>
        <w:tabs>
          <w:tab w:val="num" w:pos="3600"/>
        </w:tabs>
        <w:ind w:left="3600" w:hanging="360"/>
      </w:pPr>
      <w:rPr>
        <w:rFonts w:ascii="Arial" w:hAnsi="Arial" w:hint="default"/>
      </w:rPr>
    </w:lvl>
    <w:lvl w:ilvl="5" w:tplc="4728460A" w:tentative="1">
      <w:start w:val="1"/>
      <w:numFmt w:val="bullet"/>
      <w:lvlText w:val="▪"/>
      <w:lvlJc w:val="left"/>
      <w:pPr>
        <w:tabs>
          <w:tab w:val="num" w:pos="4320"/>
        </w:tabs>
        <w:ind w:left="4320" w:hanging="360"/>
      </w:pPr>
      <w:rPr>
        <w:rFonts w:ascii="Arial" w:hAnsi="Arial" w:hint="default"/>
      </w:rPr>
    </w:lvl>
    <w:lvl w:ilvl="6" w:tplc="6602BD1A" w:tentative="1">
      <w:start w:val="1"/>
      <w:numFmt w:val="bullet"/>
      <w:lvlText w:val="▪"/>
      <w:lvlJc w:val="left"/>
      <w:pPr>
        <w:tabs>
          <w:tab w:val="num" w:pos="5040"/>
        </w:tabs>
        <w:ind w:left="5040" w:hanging="360"/>
      </w:pPr>
      <w:rPr>
        <w:rFonts w:ascii="Arial" w:hAnsi="Arial" w:hint="default"/>
      </w:rPr>
    </w:lvl>
    <w:lvl w:ilvl="7" w:tplc="2454365C" w:tentative="1">
      <w:start w:val="1"/>
      <w:numFmt w:val="bullet"/>
      <w:lvlText w:val="▪"/>
      <w:lvlJc w:val="left"/>
      <w:pPr>
        <w:tabs>
          <w:tab w:val="num" w:pos="5760"/>
        </w:tabs>
        <w:ind w:left="5760" w:hanging="360"/>
      </w:pPr>
      <w:rPr>
        <w:rFonts w:ascii="Arial" w:hAnsi="Arial" w:hint="default"/>
      </w:rPr>
    </w:lvl>
    <w:lvl w:ilvl="8" w:tplc="E8CEE2DA" w:tentative="1">
      <w:start w:val="1"/>
      <w:numFmt w:val="bullet"/>
      <w:lvlText w:val="▪"/>
      <w:lvlJc w:val="left"/>
      <w:pPr>
        <w:tabs>
          <w:tab w:val="num" w:pos="6480"/>
        </w:tabs>
        <w:ind w:left="6480" w:hanging="360"/>
      </w:pPr>
      <w:rPr>
        <w:rFonts w:ascii="Arial" w:hAnsi="Arial" w:hint="default"/>
      </w:rPr>
    </w:lvl>
  </w:abstractNum>
  <w:abstractNum w:abstractNumId="1">
    <w:nsid w:val="46556BDB"/>
    <w:multiLevelType w:val="hybridMultilevel"/>
    <w:tmpl w:val="57140D42"/>
    <w:lvl w:ilvl="0" w:tplc="4FBC5158">
      <w:start w:val="1"/>
      <w:numFmt w:val="decimal"/>
      <w:pStyle w:val="Style1"/>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5A60550"/>
    <w:multiLevelType w:val="hybridMultilevel"/>
    <w:tmpl w:val="F2E4B98E"/>
    <w:lvl w:ilvl="0" w:tplc="24D4282A">
      <w:start w:val="1"/>
      <w:numFmt w:val="bullet"/>
      <w:lvlText w:val="•"/>
      <w:lvlJc w:val="left"/>
      <w:pPr>
        <w:tabs>
          <w:tab w:val="num" w:pos="720"/>
        </w:tabs>
        <w:ind w:left="720" w:hanging="360"/>
      </w:pPr>
      <w:rPr>
        <w:rFonts w:ascii="Arial" w:hAnsi="Arial" w:hint="default"/>
      </w:rPr>
    </w:lvl>
    <w:lvl w:ilvl="1" w:tplc="437EB314" w:tentative="1">
      <w:start w:val="1"/>
      <w:numFmt w:val="bullet"/>
      <w:lvlText w:val="•"/>
      <w:lvlJc w:val="left"/>
      <w:pPr>
        <w:tabs>
          <w:tab w:val="num" w:pos="1440"/>
        </w:tabs>
        <w:ind w:left="1440" w:hanging="360"/>
      </w:pPr>
      <w:rPr>
        <w:rFonts w:ascii="Arial" w:hAnsi="Arial" w:hint="default"/>
      </w:rPr>
    </w:lvl>
    <w:lvl w:ilvl="2" w:tplc="9838442C" w:tentative="1">
      <w:start w:val="1"/>
      <w:numFmt w:val="bullet"/>
      <w:lvlText w:val="•"/>
      <w:lvlJc w:val="left"/>
      <w:pPr>
        <w:tabs>
          <w:tab w:val="num" w:pos="2160"/>
        </w:tabs>
        <w:ind w:left="2160" w:hanging="360"/>
      </w:pPr>
      <w:rPr>
        <w:rFonts w:ascii="Arial" w:hAnsi="Arial" w:hint="default"/>
      </w:rPr>
    </w:lvl>
    <w:lvl w:ilvl="3" w:tplc="AA8E8D72" w:tentative="1">
      <w:start w:val="1"/>
      <w:numFmt w:val="bullet"/>
      <w:lvlText w:val="•"/>
      <w:lvlJc w:val="left"/>
      <w:pPr>
        <w:tabs>
          <w:tab w:val="num" w:pos="2880"/>
        </w:tabs>
        <w:ind w:left="2880" w:hanging="360"/>
      </w:pPr>
      <w:rPr>
        <w:rFonts w:ascii="Arial" w:hAnsi="Arial" w:hint="default"/>
      </w:rPr>
    </w:lvl>
    <w:lvl w:ilvl="4" w:tplc="CDFE32B8" w:tentative="1">
      <w:start w:val="1"/>
      <w:numFmt w:val="bullet"/>
      <w:lvlText w:val="•"/>
      <w:lvlJc w:val="left"/>
      <w:pPr>
        <w:tabs>
          <w:tab w:val="num" w:pos="3600"/>
        </w:tabs>
        <w:ind w:left="3600" w:hanging="360"/>
      </w:pPr>
      <w:rPr>
        <w:rFonts w:ascii="Arial" w:hAnsi="Arial" w:hint="default"/>
      </w:rPr>
    </w:lvl>
    <w:lvl w:ilvl="5" w:tplc="1BC6C240" w:tentative="1">
      <w:start w:val="1"/>
      <w:numFmt w:val="bullet"/>
      <w:lvlText w:val="•"/>
      <w:lvlJc w:val="left"/>
      <w:pPr>
        <w:tabs>
          <w:tab w:val="num" w:pos="4320"/>
        </w:tabs>
        <w:ind w:left="4320" w:hanging="360"/>
      </w:pPr>
      <w:rPr>
        <w:rFonts w:ascii="Arial" w:hAnsi="Arial" w:hint="default"/>
      </w:rPr>
    </w:lvl>
    <w:lvl w:ilvl="6" w:tplc="B4965C76" w:tentative="1">
      <w:start w:val="1"/>
      <w:numFmt w:val="bullet"/>
      <w:lvlText w:val="•"/>
      <w:lvlJc w:val="left"/>
      <w:pPr>
        <w:tabs>
          <w:tab w:val="num" w:pos="5040"/>
        </w:tabs>
        <w:ind w:left="5040" w:hanging="360"/>
      </w:pPr>
      <w:rPr>
        <w:rFonts w:ascii="Arial" w:hAnsi="Arial" w:hint="default"/>
      </w:rPr>
    </w:lvl>
    <w:lvl w:ilvl="7" w:tplc="A7A01D04" w:tentative="1">
      <w:start w:val="1"/>
      <w:numFmt w:val="bullet"/>
      <w:lvlText w:val="•"/>
      <w:lvlJc w:val="left"/>
      <w:pPr>
        <w:tabs>
          <w:tab w:val="num" w:pos="5760"/>
        </w:tabs>
        <w:ind w:left="5760" w:hanging="360"/>
      </w:pPr>
      <w:rPr>
        <w:rFonts w:ascii="Arial" w:hAnsi="Arial" w:hint="default"/>
      </w:rPr>
    </w:lvl>
    <w:lvl w:ilvl="8" w:tplc="6382FF62" w:tentative="1">
      <w:start w:val="1"/>
      <w:numFmt w:val="bullet"/>
      <w:lvlText w:val="•"/>
      <w:lvlJc w:val="left"/>
      <w:pPr>
        <w:tabs>
          <w:tab w:val="num" w:pos="6480"/>
        </w:tabs>
        <w:ind w:left="6480" w:hanging="360"/>
      </w:pPr>
      <w:rPr>
        <w:rFonts w:ascii="Arial" w:hAnsi="Arial" w:hint="default"/>
      </w:rPr>
    </w:lvl>
  </w:abstractNum>
  <w:abstractNum w:abstractNumId="3">
    <w:nsid w:val="6C097371"/>
    <w:multiLevelType w:val="hybridMultilevel"/>
    <w:tmpl w:val="519E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50"/>
    <w:rsid w:val="000054B7"/>
    <w:rsid w:val="00007F43"/>
    <w:rsid w:val="00043CA5"/>
    <w:rsid w:val="000A4239"/>
    <w:rsid w:val="000B31C5"/>
    <w:rsid w:val="000C5194"/>
    <w:rsid w:val="000F5885"/>
    <w:rsid w:val="001258B1"/>
    <w:rsid w:val="0012711D"/>
    <w:rsid w:val="00127539"/>
    <w:rsid w:val="0013768C"/>
    <w:rsid w:val="00173DCA"/>
    <w:rsid w:val="00197F46"/>
    <w:rsid w:val="001A7B46"/>
    <w:rsid w:val="001B4A97"/>
    <w:rsid w:val="001F65AD"/>
    <w:rsid w:val="00200397"/>
    <w:rsid w:val="00223908"/>
    <w:rsid w:val="002614FC"/>
    <w:rsid w:val="00275FF4"/>
    <w:rsid w:val="00284407"/>
    <w:rsid w:val="00290304"/>
    <w:rsid w:val="002D7BD0"/>
    <w:rsid w:val="003926CE"/>
    <w:rsid w:val="003A3C67"/>
    <w:rsid w:val="003E1324"/>
    <w:rsid w:val="0040008A"/>
    <w:rsid w:val="004032F6"/>
    <w:rsid w:val="004064BD"/>
    <w:rsid w:val="00411A64"/>
    <w:rsid w:val="0043385D"/>
    <w:rsid w:val="00441B8B"/>
    <w:rsid w:val="00467A62"/>
    <w:rsid w:val="0047151A"/>
    <w:rsid w:val="004C7DF5"/>
    <w:rsid w:val="004F31A8"/>
    <w:rsid w:val="00516663"/>
    <w:rsid w:val="00563E9D"/>
    <w:rsid w:val="005E0771"/>
    <w:rsid w:val="005E5A11"/>
    <w:rsid w:val="005E6D10"/>
    <w:rsid w:val="005F776A"/>
    <w:rsid w:val="00616DD4"/>
    <w:rsid w:val="00643D01"/>
    <w:rsid w:val="00655A5A"/>
    <w:rsid w:val="00693380"/>
    <w:rsid w:val="006A1561"/>
    <w:rsid w:val="006A4650"/>
    <w:rsid w:val="006C449F"/>
    <w:rsid w:val="007117B0"/>
    <w:rsid w:val="007473C7"/>
    <w:rsid w:val="007868EB"/>
    <w:rsid w:val="007A194E"/>
    <w:rsid w:val="007A7F55"/>
    <w:rsid w:val="008377BC"/>
    <w:rsid w:val="00850B01"/>
    <w:rsid w:val="00864CFF"/>
    <w:rsid w:val="00872FFE"/>
    <w:rsid w:val="008873E1"/>
    <w:rsid w:val="008C40EE"/>
    <w:rsid w:val="008E7CC0"/>
    <w:rsid w:val="0090476B"/>
    <w:rsid w:val="00930FF4"/>
    <w:rsid w:val="009E0AFA"/>
    <w:rsid w:val="009F6EEB"/>
    <w:rsid w:val="00A0019E"/>
    <w:rsid w:val="00A34888"/>
    <w:rsid w:val="00A73F3E"/>
    <w:rsid w:val="00AA35D3"/>
    <w:rsid w:val="00AD5950"/>
    <w:rsid w:val="00AE1342"/>
    <w:rsid w:val="00B51945"/>
    <w:rsid w:val="00B80DA9"/>
    <w:rsid w:val="00BE0BA2"/>
    <w:rsid w:val="00BE3C6A"/>
    <w:rsid w:val="00BE65E1"/>
    <w:rsid w:val="00C035E0"/>
    <w:rsid w:val="00C1374E"/>
    <w:rsid w:val="00C1606F"/>
    <w:rsid w:val="00C226FE"/>
    <w:rsid w:val="00C36713"/>
    <w:rsid w:val="00C42B1D"/>
    <w:rsid w:val="00C45068"/>
    <w:rsid w:val="00C536FC"/>
    <w:rsid w:val="00C56843"/>
    <w:rsid w:val="00C83956"/>
    <w:rsid w:val="00C92D83"/>
    <w:rsid w:val="00CB0763"/>
    <w:rsid w:val="00CB3012"/>
    <w:rsid w:val="00CC3211"/>
    <w:rsid w:val="00CE3F7A"/>
    <w:rsid w:val="00D15F46"/>
    <w:rsid w:val="00D371BE"/>
    <w:rsid w:val="00D50F08"/>
    <w:rsid w:val="00D5333D"/>
    <w:rsid w:val="00D55CBB"/>
    <w:rsid w:val="00D56D00"/>
    <w:rsid w:val="00D677A9"/>
    <w:rsid w:val="00D8203F"/>
    <w:rsid w:val="00DD1C14"/>
    <w:rsid w:val="00DD57DE"/>
    <w:rsid w:val="00DE67C7"/>
    <w:rsid w:val="00E235FA"/>
    <w:rsid w:val="00E62503"/>
    <w:rsid w:val="00E94C9E"/>
    <w:rsid w:val="00EA47B9"/>
    <w:rsid w:val="00EB2C45"/>
    <w:rsid w:val="00ED44AD"/>
    <w:rsid w:val="00ED7AA4"/>
    <w:rsid w:val="00EF1B4A"/>
    <w:rsid w:val="00EF25E5"/>
    <w:rsid w:val="00F358FB"/>
    <w:rsid w:val="00FA7D09"/>
    <w:rsid w:val="00FF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B630C"/>
  <w15:chartTrackingRefBased/>
  <w15:docId w15:val="{6D1EC66F-B8C5-4BBE-A0AC-6861EAC1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885"/>
    <w:rPr>
      <w:color w:val="0563C1" w:themeColor="hyperlink"/>
      <w:u w:val="single"/>
    </w:rPr>
  </w:style>
  <w:style w:type="paragraph" w:styleId="ListParagraph">
    <w:name w:val="List Paragraph"/>
    <w:basedOn w:val="Normal"/>
    <w:link w:val="ListParagraphChar"/>
    <w:uiPriority w:val="34"/>
    <w:qFormat/>
    <w:rsid w:val="00043CA5"/>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0B31C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B3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1C5"/>
  </w:style>
  <w:style w:type="paragraph" w:styleId="Footer">
    <w:name w:val="footer"/>
    <w:basedOn w:val="Normal"/>
    <w:link w:val="FooterChar"/>
    <w:uiPriority w:val="99"/>
    <w:unhideWhenUsed/>
    <w:rsid w:val="000B3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1C5"/>
  </w:style>
  <w:style w:type="character" w:styleId="CommentReference">
    <w:name w:val="annotation reference"/>
    <w:basedOn w:val="DefaultParagraphFont"/>
    <w:uiPriority w:val="99"/>
    <w:semiHidden/>
    <w:unhideWhenUsed/>
    <w:rsid w:val="00C536FC"/>
    <w:rPr>
      <w:sz w:val="16"/>
      <w:szCs w:val="16"/>
    </w:rPr>
  </w:style>
  <w:style w:type="paragraph" w:styleId="CommentText">
    <w:name w:val="annotation text"/>
    <w:basedOn w:val="Normal"/>
    <w:link w:val="CommentTextChar"/>
    <w:uiPriority w:val="99"/>
    <w:semiHidden/>
    <w:unhideWhenUsed/>
    <w:rsid w:val="00C536FC"/>
    <w:pPr>
      <w:spacing w:line="240" w:lineRule="auto"/>
    </w:pPr>
    <w:rPr>
      <w:sz w:val="20"/>
      <w:szCs w:val="20"/>
    </w:rPr>
  </w:style>
  <w:style w:type="character" w:customStyle="1" w:styleId="CommentTextChar">
    <w:name w:val="Comment Text Char"/>
    <w:basedOn w:val="DefaultParagraphFont"/>
    <w:link w:val="CommentText"/>
    <w:uiPriority w:val="99"/>
    <w:semiHidden/>
    <w:rsid w:val="00C536FC"/>
    <w:rPr>
      <w:sz w:val="20"/>
      <w:szCs w:val="20"/>
    </w:rPr>
  </w:style>
  <w:style w:type="paragraph" w:styleId="CommentSubject">
    <w:name w:val="annotation subject"/>
    <w:basedOn w:val="CommentText"/>
    <w:next w:val="CommentText"/>
    <w:link w:val="CommentSubjectChar"/>
    <w:uiPriority w:val="99"/>
    <w:semiHidden/>
    <w:unhideWhenUsed/>
    <w:rsid w:val="00C536FC"/>
    <w:rPr>
      <w:b/>
      <w:bCs/>
    </w:rPr>
  </w:style>
  <w:style w:type="character" w:customStyle="1" w:styleId="CommentSubjectChar">
    <w:name w:val="Comment Subject Char"/>
    <w:basedOn w:val="CommentTextChar"/>
    <w:link w:val="CommentSubject"/>
    <w:uiPriority w:val="99"/>
    <w:semiHidden/>
    <w:rsid w:val="00C536FC"/>
    <w:rPr>
      <w:b/>
      <w:bCs/>
      <w:sz w:val="20"/>
      <w:szCs w:val="20"/>
    </w:rPr>
  </w:style>
  <w:style w:type="paragraph" w:styleId="BalloonText">
    <w:name w:val="Balloon Text"/>
    <w:basedOn w:val="Normal"/>
    <w:link w:val="BalloonTextChar"/>
    <w:uiPriority w:val="99"/>
    <w:semiHidden/>
    <w:unhideWhenUsed/>
    <w:rsid w:val="00C53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6FC"/>
    <w:rPr>
      <w:rFonts w:ascii="Segoe UI" w:hAnsi="Segoe UI" w:cs="Segoe UI"/>
      <w:sz w:val="18"/>
      <w:szCs w:val="18"/>
    </w:rPr>
  </w:style>
  <w:style w:type="paragraph" w:customStyle="1" w:styleId="Style1">
    <w:name w:val="Style1"/>
    <w:basedOn w:val="ListParagraph"/>
    <w:link w:val="Style1Char"/>
    <w:qFormat/>
    <w:rsid w:val="00275FF4"/>
    <w:pPr>
      <w:numPr>
        <w:numId w:val="4"/>
      </w:numPr>
    </w:pPr>
    <w:rPr>
      <w:rFonts w:ascii="Arial" w:hAnsi="Arial" w:cs="Arial"/>
    </w:rPr>
  </w:style>
  <w:style w:type="paragraph" w:styleId="Revision">
    <w:name w:val="Revision"/>
    <w:hidden/>
    <w:uiPriority w:val="99"/>
    <w:semiHidden/>
    <w:rsid w:val="00275FF4"/>
    <w:pPr>
      <w:spacing w:after="0" w:line="240" w:lineRule="auto"/>
    </w:pPr>
  </w:style>
  <w:style w:type="character" w:customStyle="1" w:styleId="ListParagraphChar">
    <w:name w:val="List Paragraph Char"/>
    <w:basedOn w:val="DefaultParagraphFont"/>
    <w:link w:val="ListParagraph"/>
    <w:uiPriority w:val="34"/>
    <w:rsid w:val="00275FF4"/>
    <w:rPr>
      <w:rFonts w:ascii="Times New Roman" w:eastAsia="Times New Roman" w:hAnsi="Times New Roman" w:cs="Times New Roman"/>
      <w:sz w:val="24"/>
      <w:szCs w:val="24"/>
      <w:lang w:eastAsia="en-GB"/>
    </w:rPr>
  </w:style>
  <w:style w:type="character" w:customStyle="1" w:styleId="Style1Char">
    <w:name w:val="Style1 Char"/>
    <w:basedOn w:val="ListParagraphChar"/>
    <w:link w:val="Style1"/>
    <w:rsid w:val="00275FF4"/>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853113">
      <w:bodyDiv w:val="1"/>
      <w:marLeft w:val="0"/>
      <w:marRight w:val="0"/>
      <w:marTop w:val="0"/>
      <w:marBottom w:val="0"/>
      <w:divBdr>
        <w:top w:val="none" w:sz="0" w:space="0" w:color="auto"/>
        <w:left w:val="none" w:sz="0" w:space="0" w:color="auto"/>
        <w:bottom w:val="none" w:sz="0" w:space="0" w:color="auto"/>
        <w:right w:val="none" w:sz="0" w:space="0" w:color="auto"/>
      </w:divBdr>
    </w:div>
    <w:div w:id="983462071">
      <w:bodyDiv w:val="1"/>
      <w:marLeft w:val="0"/>
      <w:marRight w:val="0"/>
      <w:marTop w:val="0"/>
      <w:marBottom w:val="0"/>
      <w:divBdr>
        <w:top w:val="none" w:sz="0" w:space="0" w:color="auto"/>
        <w:left w:val="none" w:sz="0" w:space="0" w:color="auto"/>
        <w:bottom w:val="none" w:sz="0" w:space="0" w:color="auto"/>
        <w:right w:val="none" w:sz="0" w:space="0" w:color="auto"/>
      </w:divBdr>
      <w:divsChild>
        <w:div w:id="685253075">
          <w:marLeft w:val="360"/>
          <w:marRight w:val="0"/>
          <w:marTop w:val="360"/>
          <w:marBottom w:val="0"/>
          <w:divBdr>
            <w:top w:val="none" w:sz="0" w:space="0" w:color="auto"/>
            <w:left w:val="none" w:sz="0" w:space="0" w:color="auto"/>
            <w:bottom w:val="none" w:sz="0" w:space="0" w:color="auto"/>
            <w:right w:val="none" w:sz="0" w:space="0" w:color="auto"/>
          </w:divBdr>
        </w:div>
      </w:divsChild>
    </w:div>
    <w:div w:id="1261792946">
      <w:bodyDiv w:val="1"/>
      <w:marLeft w:val="0"/>
      <w:marRight w:val="0"/>
      <w:marTop w:val="0"/>
      <w:marBottom w:val="0"/>
      <w:divBdr>
        <w:top w:val="none" w:sz="0" w:space="0" w:color="auto"/>
        <w:left w:val="none" w:sz="0" w:space="0" w:color="auto"/>
        <w:bottom w:val="none" w:sz="0" w:space="0" w:color="auto"/>
        <w:right w:val="none" w:sz="0" w:space="0" w:color="auto"/>
      </w:divBdr>
    </w:div>
    <w:div w:id="1384594968">
      <w:bodyDiv w:val="1"/>
      <w:marLeft w:val="0"/>
      <w:marRight w:val="0"/>
      <w:marTop w:val="0"/>
      <w:marBottom w:val="0"/>
      <w:divBdr>
        <w:top w:val="none" w:sz="0" w:space="0" w:color="auto"/>
        <w:left w:val="none" w:sz="0" w:space="0" w:color="auto"/>
        <w:bottom w:val="none" w:sz="0" w:space="0" w:color="auto"/>
        <w:right w:val="none" w:sz="0" w:space="0" w:color="auto"/>
      </w:divBdr>
    </w:div>
    <w:div w:id="1431126559">
      <w:bodyDiv w:val="1"/>
      <w:marLeft w:val="0"/>
      <w:marRight w:val="0"/>
      <w:marTop w:val="0"/>
      <w:marBottom w:val="0"/>
      <w:divBdr>
        <w:top w:val="none" w:sz="0" w:space="0" w:color="auto"/>
        <w:left w:val="none" w:sz="0" w:space="0" w:color="auto"/>
        <w:bottom w:val="none" w:sz="0" w:space="0" w:color="auto"/>
        <w:right w:val="none" w:sz="0" w:space="0" w:color="auto"/>
      </w:divBdr>
    </w:div>
    <w:div w:id="1570651988">
      <w:bodyDiv w:val="1"/>
      <w:marLeft w:val="0"/>
      <w:marRight w:val="0"/>
      <w:marTop w:val="0"/>
      <w:marBottom w:val="0"/>
      <w:divBdr>
        <w:top w:val="none" w:sz="0" w:space="0" w:color="auto"/>
        <w:left w:val="none" w:sz="0" w:space="0" w:color="auto"/>
        <w:bottom w:val="none" w:sz="0" w:space="0" w:color="auto"/>
        <w:right w:val="none" w:sz="0" w:space="0" w:color="auto"/>
      </w:divBdr>
      <w:divsChild>
        <w:div w:id="196626116">
          <w:marLeft w:val="432"/>
          <w:marRight w:val="0"/>
          <w:marTop w:val="48"/>
          <w:marBottom w:val="0"/>
          <w:divBdr>
            <w:top w:val="none" w:sz="0" w:space="0" w:color="auto"/>
            <w:left w:val="none" w:sz="0" w:space="0" w:color="auto"/>
            <w:bottom w:val="none" w:sz="0" w:space="0" w:color="auto"/>
            <w:right w:val="none" w:sz="0" w:space="0" w:color="auto"/>
          </w:divBdr>
        </w:div>
        <w:div w:id="320281592">
          <w:marLeft w:val="432"/>
          <w:marRight w:val="0"/>
          <w:marTop w:val="48"/>
          <w:marBottom w:val="0"/>
          <w:divBdr>
            <w:top w:val="none" w:sz="0" w:space="0" w:color="auto"/>
            <w:left w:val="none" w:sz="0" w:space="0" w:color="auto"/>
            <w:bottom w:val="none" w:sz="0" w:space="0" w:color="auto"/>
            <w:right w:val="none" w:sz="0" w:space="0" w:color="auto"/>
          </w:divBdr>
        </w:div>
        <w:div w:id="1503738800">
          <w:marLeft w:val="432"/>
          <w:marRight w:val="0"/>
          <w:marTop w:val="48"/>
          <w:marBottom w:val="0"/>
          <w:divBdr>
            <w:top w:val="none" w:sz="0" w:space="0" w:color="auto"/>
            <w:left w:val="none" w:sz="0" w:space="0" w:color="auto"/>
            <w:bottom w:val="none" w:sz="0" w:space="0" w:color="auto"/>
            <w:right w:val="none" w:sz="0" w:space="0" w:color="auto"/>
          </w:divBdr>
        </w:div>
        <w:div w:id="223609352">
          <w:marLeft w:val="432"/>
          <w:marRight w:val="0"/>
          <w:marTop w:val="48"/>
          <w:marBottom w:val="0"/>
          <w:divBdr>
            <w:top w:val="none" w:sz="0" w:space="0" w:color="auto"/>
            <w:left w:val="none" w:sz="0" w:space="0" w:color="auto"/>
            <w:bottom w:val="none" w:sz="0" w:space="0" w:color="auto"/>
            <w:right w:val="none" w:sz="0" w:space="0" w:color="auto"/>
          </w:divBdr>
        </w:div>
        <w:div w:id="1709599880">
          <w:marLeft w:val="432"/>
          <w:marRight w:val="0"/>
          <w:marTop w:val="48"/>
          <w:marBottom w:val="0"/>
          <w:divBdr>
            <w:top w:val="none" w:sz="0" w:space="0" w:color="auto"/>
            <w:left w:val="none" w:sz="0" w:space="0" w:color="auto"/>
            <w:bottom w:val="none" w:sz="0" w:space="0" w:color="auto"/>
            <w:right w:val="none" w:sz="0" w:space="0" w:color="auto"/>
          </w:divBdr>
        </w:div>
        <w:div w:id="1726952263">
          <w:marLeft w:val="432"/>
          <w:marRight w:val="0"/>
          <w:marTop w:val="48"/>
          <w:marBottom w:val="0"/>
          <w:divBdr>
            <w:top w:val="none" w:sz="0" w:space="0" w:color="auto"/>
            <w:left w:val="none" w:sz="0" w:space="0" w:color="auto"/>
            <w:bottom w:val="none" w:sz="0" w:space="0" w:color="auto"/>
            <w:right w:val="none" w:sz="0" w:space="0" w:color="auto"/>
          </w:divBdr>
        </w:div>
        <w:div w:id="401874773">
          <w:marLeft w:val="432"/>
          <w:marRight w:val="0"/>
          <w:marTop w:val="48"/>
          <w:marBottom w:val="0"/>
          <w:divBdr>
            <w:top w:val="none" w:sz="0" w:space="0" w:color="auto"/>
            <w:left w:val="none" w:sz="0" w:space="0" w:color="auto"/>
            <w:bottom w:val="none" w:sz="0" w:space="0" w:color="auto"/>
            <w:right w:val="none" w:sz="0" w:space="0" w:color="auto"/>
          </w:divBdr>
        </w:div>
        <w:div w:id="1049109738">
          <w:marLeft w:val="432"/>
          <w:marRight w:val="0"/>
          <w:marTop w:val="48"/>
          <w:marBottom w:val="0"/>
          <w:divBdr>
            <w:top w:val="none" w:sz="0" w:space="0" w:color="auto"/>
            <w:left w:val="none" w:sz="0" w:space="0" w:color="auto"/>
            <w:bottom w:val="none" w:sz="0" w:space="0" w:color="auto"/>
            <w:right w:val="none" w:sz="0" w:space="0" w:color="auto"/>
          </w:divBdr>
        </w:div>
        <w:div w:id="696010229">
          <w:marLeft w:val="432"/>
          <w:marRight w:val="0"/>
          <w:marTop w:val="48"/>
          <w:marBottom w:val="0"/>
          <w:divBdr>
            <w:top w:val="none" w:sz="0" w:space="0" w:color="auto"/>
            <w:left w:val="none" w:sz="0" w:space="0" w:color="auto"/>
            <w:bottom w:val="none" w:sz="0" w:space="0" w:color="auto"/>
            <w:right w:val="none" w:sz="0" w:space="0" w:color="auto"/>
          </w:divBdr>
        </w:div>
        <w:div w:id="881092658">
          <w:marLeft w:val="432"/>
          <w:marRight w:val="0"/>
          <w:marTop w:val="48"/>
          <w:marBottom w:val="0"/>
          <w:divBdr>
            <w:top w:val="none" w:sz="0" w:space="0" w:color="auto"/>
            <w:left w:val="none" w:sz="0" w:space="0" w:color="auto"/>
            <w:bottom w:val="none" w:sz="0" w:space="0" w:color="auto"/>
            <w:right w:val="none" w:sz="0" w:space="0" w:color="auto"/>
          </w:divBdr>
        </w:div>
        <w:div w:id="1604999042">
          <w:marLeft w:val="432"/>
          <w:marRight w:val="0"/>
          <w:marTop w:val="48"/>
          <w:marBottom w:val="0"/>
          <w:divBdr>
            <w:top w:val="none" w:sz="0" w:space="0" w:color="auto"/>
            <w:left w:val="none" w:sz="0" w:space="0" w:color="auto"/>
            <w:bottom w:val="none" w:sz="0" w:space="0" w:color="auto"/>
            <w:right w:val="none" w:sz="0" w:space="0" w:color="auto"/>
          </w:divBdr>
        </w:div>
        <w:div w:id="1562522261">
          <w:marLeft w:val="432"/>
          <w:marRight w:val="0"/>
          <w:marTop w:val="48"/>
          <w:marBottom w:val="0"/>
          <w:divBdr>
            <w:top w:val="none" w:sz="0" w:space="0" w:color="auto"/>
            <w:left w:val="none" w:sz="0" w:space="0" w:color="auto"/>
            <w:bottom w:val="none" w:sz="0" w:space="0" w:color="auto"/>
            <w:right w:val="none" w:sz="0" w:space="0" w:color="auto"/>
          </w:divBdr>
        </w:div>
        <w:div w:id="1351680407">
          <w:marLeft w:val="432"/>
          <w:marRight w:val="0"/>
          <w:marTop w:val="48"/>
          <w:marBottom w:val="0"/>
          <w:divBdr>
            <w:top w:val="none" w:sz="0" w:space="0" w:color="auto"/>
            <w:left w:val="none" w:sz="0" w:space="0" w:color="auto"/>
            <w:bottom w:val="none" w:sz="0" w:space="0" w:color="auto"/>
            <w:right w:val="none" w:sz="0" w:space="0" w:color="auto"/>
          </w:divBdr>
        </w:div>
        <w:div w:id="1208839273">
          <w:marLeft w:val="432"/>
          <w:marRight w:val="0"/>
          <w:marTop w:val="48"/>
          <w:marBottom w:val="0"/>
          <w:divBdr>
            <w:top w:val="none" w:sz="0" w:space="0" w:color="auto"/>
            <w:left w:val="none" w:sz="0" w:space="0" w:color="auto"/>
            <w:bottom w:val="none" w:sz="0" w:space="0" w:color="auto"/>
            <w:right w:val="none" w:sz="0" w:space="0" w:color="auto"/>
          </w:divBdr>
        </w:div>
        <w:div w:id="2131506288">
          <w:marLeft w:val="432"/>
          <w:marRight w:val="0"/>
          <w:marTop w:val="48"/>
          <w:marBottom w:val="0"/>
          <w:divBdr>
            <w:top w:val="none" w:sz="0" w:space="0" w:color="auto"/>
            <w:left w:val="none" w:sz="0" w:space="0" w:color="auto"/>
            <w:bottom w:val="none" w:sz="0" w:space="0" w:color="auto"/>
            <w:right w:val="none" w:sz="0" w:space="0" w:color="auto"/>
          </w:divBdr>
        </w:div>
        <w:div w:id="578950694">
          <w:marLeft w:val="432"/>
          <w:marRight w:val="0"/>
          <w:marTop w:val="48"/>
          <w:marBottom w:val="0"/>
          <w:divBdr>
            <w:top w:val="none" w:sz="0" w:space="0" w:color="auto"/>
            <w:left w:val="none" w:sz="0" w:space="0" w:color="auto"/>
            <w:bottom w:val="none" w:sz="0" w:space="0" w:color="auto"/>
            <w:right w:val="none" w:sz="0" w:space="0" w:color="auto"/>
          </w:divBdr>
        </w:div>
        <w:div w:id="1073313801">
          <w:marLeft w:val="432"/>
          <w:marRight w:val="0"/>
          <w:marTop w:val="48"/>
          <w:marBottom w:val="0"/>
          <w:divBdr>
            <w:top w:val="none" w:sz="0" w:space="0" w:color="auto"/>
            <w:left w:val="none" w:sz="0" w:space="0" w:color="auto"/>
            <w:bottom w:val="none" w:sz="0" w:space="0" w:color="auto"/>
            <w:right w:val="none" w:sz="0" w:space="0" w:color="auto"/>
          </w:divBdr>
        </w:div>
        <w:div w:id="270863400">
          <w:marLeft w:val="432"/>
          <w:marRight w:val="0"/>
          <w:marTop w:val="48"/>
          <w:marBottom w:val="0"/>
          <w:divBdr>
            <w:top w:val="none" w:sz="0" w:space="0" w:color="auto"/>
            <w:left w:val="none" w:sz="0" w:space="0" w:color="auto"/>
            <w:bottom w:val="none" w:sz="0" w:space="0" w:color="auto"/>
            <w:right w:val="none" w:sz="0" w:space="0" w:color="auto"/>
          </w:divBdr>
        </w:div>
      </w:divsChild>
    </w:div>
    <w:div w:id="1605187205">
      <w:bodyDiv w:val="1"/>
      <w:marLeft w:val="0"/>
      <w:marRight w:val="0"/>
      <w:marTop w:val="0"/>
      <w:marBottom w:val="0"/>
      <w:divBdr>
        <w:top w:val="none" w:sz="0" w:space="0" w:color="auto"/>
        <w:left w:val="none" w:sz="0" w:space="0" w:color="auto"/>
        <w:bottom w:val="none" w:sz="0" w:space="0" w:color="auto"/>
        <w:right w:val="none" w:sz="0" w:space="0" w:color="auto"/>
      </w:divBdr>
    </w:div>
    <w:div w:id="21443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archives.gov.uk/doc/open-government-lic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po.gov.uk/" TargetMode="External"/><Relationship Id="rId4" Type="http://schemas.openxmlformats.org/officeDocument/2006/relationships/settings" Target="settings.xml"/><Relationship Id="rId9" Type="http://schemas.openxmlformats.org/officeDocument/2006/relationships/hyperlink" Target="http://www.nationalarchives.gov.uk/information-management/uk-gov-licensing-framework.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A1B5F-7377-40E3-93B8-8FCA20EC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Allerton Mark STRATEGY HEALTH &amp; SCIENCE</dc:creator>
  <cp:keywords/>
  <dc:description/>
  <cp:lastModifiedBy>Jones Kim STRATEGY DISABILITY EMPLOYMENT AND SUPPORT DIRECTORATE</cp:lastModifiedBy>
  <cp:revision>15</cp:revision>
  <dcterms:created xsi:type="dcterms:W3CDTF">2017-08-23T16:05:00Z</dcterms:created>
  <dcterms:modified xsi:type="dcterms:W3CDTF">2017-11-07T09:47:00Z</dcterms:modified>
</cp:coreProperties>
</file>