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0E8BD" w14:textId="7C3A598A" w:rsidR="008D23EE" w:rsidRDefault="008D23EE" w:rsidP="008D23EE">
      <w:pPr>
        <w:pStyle w:val="ListParagraph"/>
        <w:numPr>
          <w:ilvl w:val="0"/>
          <w:numId w:val="1"/>
        </w:numPr>
        <w:ind w:left="851" w:right="271" w:hanging="42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 also take very strong issue with the HCP’s observation </w:t>
      </w:r>
      <w:proofErr w:type="gramStart"/>
      <w:r w:rsidRPr="007775D8">
        <w:rPr>
          <w:rFonts w:ascii="Arial" w:eastAsia="Times New Roman" w:hAnsi="Arial" w:cs="Arial"/>
          <w:b/>
          <w:bCs/>
          <w:sz w:val="24"/>
          <w:szCs w:val="24"/>
        </w:rPr>
        <w:t>( p</w:t>
      </w:r>
      <w:proofErr w:type="gramEnd"/>
      <w:r w:rsidRPr="007775D8">
        <w:rPr>
          <w:rFonts w:ascii="Arial" w:eastAsia="Times New Roman" w:hAnsi="Arial" w:cs="Arial"/>
          <w:b/>
          <w:bCs/>
          <w:sz w:val="24"/>
          <w:szCs w:val="24"/>
        </w:rPr>
        <w:t>126 of the bundle</w:t>
      </w:r>
      <w:r>
        <w:rPr>
          <w:rFonts w:ascii="Arial" w:eastAsia="Times New Roman" w:hAnsi="Arial" w:cs="Arial"/>
          <w:sz w:val="24"/>
          <w:szCs w:val="24"/>
        </w:rPr>
        <w:t xml:space="preserve">) that Mr </w:t>
      </w:r>
      <w:r>
        <w:rPr>
          <w:rFonts w:ascii="Arial" w:eastAsia="Times New Roman" w:hAnsi="Arial" w:cs="Arial"/>
          <w:sz w:val="24"/>
          <w:szCs w:val="24"/>
        </w:rPr>
        <w:t>X</w:t>
      </w:r>
    </w:p>
    <w:p w14:paraId="32FD72B4" w14:textId="77777777" w:rsidR="008D23EE" w:rsidRDefault="008D23EE" w:rsidP="008D23EE">
      <w:pPr>
        <w:pStyle w:val="ListParagraph"/>
        <w:ind w:left="851" w:right="271"/>
        <w:rPr>
          <w:rFonts w:ascii="Arial" w:eastAsia="Times New Roman" w:hAnsi="Arial" w:cs="Arial"/>
          <w:sz w:val="24"/>
          <w:szCs w:val="24"/>
        </w:rPr>
      </w:pPr>
    </w:p>
    <w:p w14:paraId="40262747" w14:textId="77777777" w:rsidR="008D23EE" w:rsidRDefault="008D23EE" w:rsidP="008D23EE">
      <w:pPr>
        <w:pStyle w:val="ListParagraph"/>
        <w:ind w:left="2694" w:right="27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Walked 37 metres to and from the assessment room at a slow </w:t>
      </w:r>
      <w:proofErr w:type="gramStart"/>
      <w:r>
        <w:rPr>
          <w:rFonts w:ascii="Arial" w:eastAsia="Times New Roman" w:hAnsi="Arial" w:cs="Arial"/>
          <w:sz w:val="24"/>
          <w:szCs w:val="24"/>
        </w:rPr>
        <w:t>pace ,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unaltered gait.</w:t>
      </w:r>
    </w:p>
    <w:p w14:paraId="12BD9800" w14:textId="77777777" w:rsidR="008D23EE" w:rsidRDefault="008D23EE" w:rsidP="008D23EE">
      <w:pPr>
        <w:pStyle w:val="ListParagraph"/>
        <w:ind w:left="2694" w:right="271"/>
        <w:rPr>
          <w:rFonts w:ascii="Arial" w:eastAsia="Times New Roman" w:hAnsi="Arial" w:cs="Arial"/>
          <w:sz w:val="24"/>
          <w:szCs w:val="24"/>
        </w:rPr>
      </w:pPr>
    </w:p>
    <w:p w14:paraId="0E7CFD3D" w14:textId="77777777" w:rsidR="008D23EE" w:rsidRDefault="008D23EE" w:rsidP="008D23EE">
      <w:pPr>
        <w:pStyle w:val="ListParagraph"/>
        <w:numPr>
          <w:ilvl w:val="1"/>
          <w:numId w:val="1"/>
        </w:numPr>
        <w:ind w:right="27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 take even more exception to the Respondent’s statements </w:t>
      </w:r>
      <w:r w:rsidRPr="007775D8">
        <w:rPr>
          <w:rFonts w:ascii="Arial" w:eastAsia="Times New Roman" w:hAnsi="Arial" w:cs="Arial"/>
          <w:b/>
          <w:bCs/>
          <w:sz w:val="24"/>
          <w:szCs w:val="24"/>
        </w:rPr>
        <w:t>(S3(3) page G of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775D8">
        <w:rPr>
          <w:rFonts w:ascii="Arial" w:eastAsia="Times New Roman" w:hAnsi="Arial" w:cs="Arial"/>
          <w:b/>
          <w:bCs/>
          <w:sz w:val="24"/>
          <w:szCs w:val="24"/>
        </w:rPr>
        <w:t>Response)</w:t>
      </w:r>
      <w:r>
        <w:rPr>
          <w:rFonts w:ascii="Arial" w:eastAsia="Times New Roman" w:hAnsi="Arial" w:cs="Arial"/>
          <w:sz w:val="24"/>
          <w:szCs w:val="24"/>
        </w:rPr>
        <w:t xml:space="preserve"> in this context</w:t>
      </w:r>
    </w:p>
    <w:p w14:paraId="6C0BBA57" w14:textId="77777777" w:rsidR="008D23EE" w:rsidRDefault="008D23EE" w:rsidP="008D23EE">
      <w:pPr>
        <w:pStyle w:val="ListParagraph"/>
        <w:ind w:left="1742" w:right="271"/>
        <w:rPr>
          <w:rFonts w:ascii="Arial" w:eastAsia="Times New Roman" w:hAnsi="Arial" w:cs="Arial"/>
          <w:sz w:val="24"/>
          <w:szCs w:val="24"/>
        </w:rPr>
      </w:pPr>
    </w:p>
    <w:p w14:paraId="18F889C1" w14:textId="77777777" w:rsidR="008D23EE" w:rsidRDefault="008D23EE" w:rsidP="008D23EE">
      <w:pPr>
        <w:pStyle w:val="ListParagraph"/>
        <w:ind w:left="2552" w:right="27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DWP guidance states walking around a small supermarket is approx. 200 metres.  DWP guidance also stated walking at a slow pace is approx. 40 to 50 metres per minute.  A very slow pace is 40 metres per minute</w:t>
      </w:r>
    </w:p>
    <w:p w14:paraId="11C96531" w14:textId="77777777" w:rsidR="008D23EE" w:rsidRDefault="008D23EE" w:rsidP="008D23EE">
      <w:pPr>
        <w:pStyle w:val="ListParagraph"/>
        <w:ind w:left="2552" w:right="271"/>
        <w:rPr>
          <w:rFonts w:ascii="Arial" w:eastAsia="Times New Roman" w:hAnsi="Arial" w:cs="Arial"/>
          <w:sz w:val="24"/>
          <w:szCs w:val="24"/>
        </w:rPr>
      </w:pPr>
    </w:p>
    <w:p w14:paraId="763BC57D" w14:textId="77777777" w:rsidR="008D23EE" w:rsidRDefault="008D23EE" w:rsidP="008D23EE">
      <w:pPr>
        <w:pStyle w:val="ListParagraph"/>
        <w:numPr>
          <w:ilvl w:val="0"/>
          <w:numId w:val="1"/>
        </w:numPr>
        <w:ind w:left="851" w:right="271" w:hanging="42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 suggest that walking around a supermarket </w:t>
      </w:r>
      <w:proofErr w:type="spellStart"/>
      <w:r>
        <w:rPr>
          <w:rFonts w:ascii="Arial" w:eastAsia="Times New Roman" w:hAnsi="Arial" w:cs="Arial"/>
          <w:sz w:val="24"/>
          <w:szCs w:val="24"/>
        </w:rPr>
        <w:t>can not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be any guide as to the speed or distance a person can walk for the simple reason that shopping in a supermarket involves frequent stops  to inspect or take goods from the shelves.</w:t>
      </w:r>
    </w:p>
    <w:p w14:paraId="6E14518E" w14:textId="77777777" w:rsidR="008D23EE" w:rsidRDefault="008D23EE" w:rsidP="008D23EE">
      <w:pPr>
        <w:pStyle w:val="ListParagraph"/>
        <w:ind w:left="851" w:right="271"/>
        <w:rPr>
          <w:rFonts w:ascii="Arial" w:eastAsia="Times New Roman" w:hAnsi="Arial" w:cs="Arial"/>
          <w:sz w:val="24"/>
          <w:szCs w:val="24"/>
        </w:rPr>
      </w:pPr>
    </w:p>
    <w:p w14:paraId="1C89AC40" w14:textId="77777777" w:rsidR="008D23EE" w:rsidRPr="00BB6A10" w:rsidRDefault="008D23EE" w:rsidP="008D23EE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851" w:right="555"/>
        <w:rPr>
          <w:rFonts w:ascii="Arial" w:eastAsia="Times New Roman" w:hAnsi="Arial" w:cs="Arial"/>
          <w:sz w:val="24"/>
          <w:szCs w:val="20"/>
        </w:rPr>
      </w:pPr>
      <w:r w:rsidRPr="00BB6A10">
        <w:rPr>
          <w:rFonts w:ascii="Arial" w:eastAsia="Times New Roman" w:hAnsi="Arial" w:cs="Arial"/>
          <w:sz w:val="24"/>
          <w:szCs w:val="24"/>
        </w:rPr>
        <w:t xml:space="preserve">This Tribunal is of course not bound by any so called DWP guidance.  The Tribunal is bound by the law and I am reminded that </w:t>
      </w:r>
      <w:r w:rsidRPr="00BB6A10">
        <w:rPr>
          <w:rFonts w:ascii="Arial" w:eastAsia="Times New Roman" w:hAnsi="Arial" w:cs="Arial"/>
          <w:sz w:val="24"/>
          <w:szCs w:val="20"/>
        </w:rPr>
        <w:t>Regulation 4</w:t>
      </w:r>
      <w:r>
        <w:rPr>
          <w:rFonts w:ascii="Arial" w:eastAsia="Times New Roman" w:hAnsi="Arial" w:cs="Arial"/>
          <w:sz w:val="24"/>
          <w:szCs w:val="20"/>
        </w:rPr>
        <w:t>(4)(c)</w:t>
      </w:r>
      <w:r w:rsidRPr="00BB6A10">
        <w:rPr>
          <w:rFonts w:ascii="Arial" w:eastAsia="Times New Roman" w:hAnsi="Arial" w:cs="Arial"/>
          <w:sz w:val="24"/>
          <w:szCs w:val="20"/>
        </w:rPr>
        <w:t xml:space="preserve"> of the Social Security (Personal Independence Payment) Regulations 2013 defines “reasonable time period” for the purposes of Regulation 4(2</w:t>
      </w:r>
      <w:proofErr w:type="gramStart"/>
      <w:r w:rsidRPr="00BB6A10">
        <w:rPr>
          <w:rFonts w:ascii="Arial" w:eastAsia="Times New Roman" w:hAnsi="Arial" w:cs="Arial"/>
          <w:sz w:val="24"/>
          <w:szCs w:val="20"/>
        </w:rPr>
        <w:t>A)(</w:t>
      </w:r>
      <w:proofErr w:type="gramEnd"/>
      <w:r w:rsidRPr="00BB6A10">
        <w:rPr>
          <w:rFonts w:ascii="Arial" w:eastAsia="Times New Roman" w:hAnsi="Arial" w:cs="Arial"/>
          <w:sz w:val="24"/>
          <w:szCs w:val="20"/>
        </w:rPr>
        <w:t xml:space="preserve">d) as </w:t>
      </w:r>
    </w:p>
    <w:p w14:paraId="68A1C9DF" w14:textId="77777777" w:rsidR="008D23EE" w:rsidRPr="007E375E" w:rsidRDefault="008D23EE" w:rsidP="008D23EE">
      <w:pPr>
        <w:pStyle w:val="ListParagraph"/>
        <w:rPr>
          <w:rFonts w:ascii="Arial" w:eastAsia="Times New Roman" w:hAnsi="Arial" w:cs="Arial"/>
          <w:sz w:val="24"/>
          <w:szCs w:val="20"/>
        </w:rPr>
      </w:pPr>
    </w:p>
    <w:p w14:paraId="21CA59D0" w14:textId="77777777" w:rsidR="008D23EE" w:rsidRPr="007E375E" w:rsidRDefault="008D23EE" w:rsidP="008D23EE">
      <w:pPr>
        <w:pStyle w:val="ListParagraph"/>
        <w:tabs>
          <w:tab w:val="left" w:pos="0"/>
        </w:tabs>
        <w:spacing w:after="0" w:line="240" w:lineRule="auto"/>
        <w:ind w:left="2552" w:right="555"/>
        <w:rPr>
          <w:rFonts w:ascii="Arial" w:eastAsia="Times New Roman" w:hAnsi="Arial" w:cs="Arial"/>
          <w:sz w:val="24"/>
          <w:szCs w:val="20"/>
        </w:rPr>
      </w:pPr>
      <w:r w:rsidRPr="007E375E">
        <w:rPr>
          <w:rFonts w:ascii="Arial" w:eastAsia="Times New Roman" w:hAnsi="Arial" w:cs="Arial"/>
          <w:sz w:val="24"/>
          <w:szCs w:val="20"/>
        </w:rPr>
        <w:t xml:space="preserve">“no more than twice as long as the maximum period that a person without a physical or mental condition </w:t>
      </w:r>
      <w:r>
        <w:rPr>
          <w:rFonts w:ascii="Arial" w:eastAsia="Times New Roman" w:hAnsi="Arial" w:cs="Arial"/>
          <w:sz w:val="24"/>
          <w:szCs w:val="20"/>
        </w:rPr>
        <w:t>“</w:t>
      </w:r>
    </w:p>
    <w:p w14:paraId="6AE44652" w14:textId="77777777" w:rsidR="008D23EE" w:rsidRPr="00604D82" w:rsidRDefault="008D23EE" w:rsidP="008D23EE">
      <w:pPr>
        <w:pStyle w:val="ListParagraph"/>
        <w:ind w:left="1069" w:right="271"/>
        <w:rPr>
          <w:rFonts w:ascii="Arial" w:eastAsia="Times New Roman" w:hAnsi="Arial" w:cs="Arial"/>
          <w:sz w:val="24"/>
          <w:szCs w:val="24"/>
        </w:rPr>
      </w:pPr>
    </w:p>
    <w:p w14:paraId="526A95C0" w14:textId="0181EC71" w:rsidR="008D23EE" w:rsidRDefault="008D23EE" w:rsidP="008D23EE">
      <w:pPr>
        <w:pStyle w:val="ListParagraph"/>
        <w:numPr>
          <w:ilvl w:val="1"/>
          <w:numId w:val="1"/>
        </w:numPr>
        <w:spacing w:after="0" w:line="240" w:lineRule="auto"/>
        <w:ind w:right="271"/>
        <w:rPr>
          <w:rFonts w:ascii="Arial" w:eastAsia="Times New Roman" w:hAnsi="Arial" w:cs="Arial"/>
          <w:sz w:val="24"/>
          <w:szCs w:val="24"/>
        </w:rPr>
      </w:pPr>
      <w:r w:rsidRPr="0013266C">
        <w:rPr>
          <w:rFonts w:ascii="Arial" w:eastAsia="Times New Roman" w:hAnsi="Arial" w:cs="Arial"/>
          <w:sz w:val="24"/>
          <w:szCs w:val="24"/>
        </w:rPr>
        <w:t xml:space="preserve">The HCP purports to have measured the distance from Mr </w:t>
      </w:r>
      <w:r>
        <w:rPr>
          <w:rFonts w:ascii="Arial" w:eastAsia="Times New Roman" w:hAnsi="Arial" w:cs="Arial"/>
          <w:sz w:val="24"/>
          <w:szCs w:val="24"/>
        </w:rPr>
        <w:t>X</w:t>
      </w:r>
      <w:r w:rsidRPr="0013266C">
        <w:rPr>
          <w:rFonts w:ascii="Arial" w:eastAsia="Times New Roman" w:hAnsi="Arial" w:cs="Arial"/>
          <w:sz w:val="24"/>
          <w:szCs w:val="24"/>
        </w:rPr>
        <w:t xml:space="preserve">’s seat in the waiting room to the assessment room (37 metres) but did not bother to measure the time it took Mr </w:t>
      </w:r>
      <w:r>
        <w:rPr>
          <w:rFonts w:ascii="Arial" w:eastAsia="Times New Roman" w:hAnsi="Arial" w:cs="Arial"/>
          <w:sz w:val="24"/>
          <w:szCs w:val="24"/>
        </w:rPr>
        <w:t>X</w:t>
      </w:r>
      <w:r w:rsidRPr="0013266C">
        <w:rPr>
          <w:rFonts w:ascii="Arial" w:eastAsia="Times New Roman" w:hAnsi="Arial" w:cs="Arial"/>
          <w:sz w:val="24"/>
          <w:szCs w:val="24"/>
        </w:rPr>
        <w:t xml:space="preserve"> to walk that distance.  The HCP’s report is arguably worthless in this respect and as such it cannot be a report that “</w:t>
      </w:r>
      <w:r w:rsidRPr="0013266C">
        <w:rPr>
          <w:rFonts w:ascii="Arial" w:eastAsia="Times New Roman" w:hAnsi="Arial" w:cs="Arial"/>
          <w:i/>
          <w:iCs/>
          <w:sz w:val="24"/>
          <w:szCs w:val="24"/>
        </w:rPr>
        <w:t xml:space="preserve">accurately reflects Mr </w:t>
      </w:r>
      <w:r>
        <w:rPr>
          <w:rFonts w:ascii="Arial" w:eastAsia="Times New Roman" w:hAnsi="Arial" w:cs="Arial"/>
          <w:i/>
          <w:iCs/>
          <w:sz w:val="24"/>
          <w:szCs w:val="24"/>
        </w:rPr>
        <w:t>X</w:t>
      </w:r>
      <w:r w:rsidRPr="0013266C">
        <w:rPr>
          <w:rFonts w:ascii="Arial" w:eastAsia="Times New Roman" w:hAnsi="Arial" w:cs="Arial"/>
          <w:i/>
          <w:iCs/>
          <w:sz w:val="24"/>
          <w:szCs w:val="24"/>
        </w:rPr>
        <w:t>’s ability to carry out the Daily Living and Mobility Activities”</w:t>
      </w:r>
      <w:r w:rsidRPr="0013266C">
        <w:rPr>
          <w:rFonts w:ascii="Arial" w:eastAsia="Times New Roman" w:hAnsi="Arial" w:cs="Arial"/>
          <w:sz w:val="24"/>
          <w:szCs w:val="24"/>
        </w:rPr>
        <w:t xml:space="preserve">, for the simple reason that the HCP did not report the time it took Mr </w:t>
      </w:r>
      <w:r>
        <w:rPr>
          <w:rFonts w:ascii="Arial" w:eastAsia="Times New Roman" w:hAnsi="Arial" w:cs="Arial"/>
          <w:sz w:val="24"/>
          <w:szCs w:val="24"/>
        </w:rPr>
        <w:t>X</w:t>
      </w:r>
      <w:r w:rsidRPr="0013266C">
        <w:rPr>
          <w:rFonts w:ascii="Arial" w:eastAsia="Times New Roman" w:hAnsi="Arial" w:cs="Arial"/>
          <w:sz w:val="24"/>
          <w:szCs w:val="24"/>
        </w:rPr>
        <w:t xml:space="preserve"> to move the supposedly measured distance and it is consequently not possible to determine whether it was a reasonable time period as defined by Regulation 4(4)(c)</w:t>
      </w:r>
    </w:p>
    <w:p w14:paraId="5DFFB832" w14:textId="77777777" w:rsidR="008D23EE" w:rsidRPr="0013266C" w:rsidRDefault="008D23EE" w:rsidP="008D23EE">
      <w:pPr>
        <w:pStyle w:val="ListParagraph"/>
        <w:spacing w:after="0" w:line="240" w:lineRule="auto"/>
        <w:ind w:left="1742" w:right="271"/>
        <w:rPr>
          <w:rFonts w:ascii="Arial" w:eastAsia="Times New Roman" w:hAnsi="Arial" w:cs="Arial"/>
          <w:sz w:val="24"/>
          <w:szCs w:val="24"/>
        </w:rPr>
      </w:pPr>
    </w:p>
    <w:p w14:paraId="364A4103" w14:textId="39BA8224" w:rsidR="008D23EE" w:rsidRPr="0013266C" w:rsidRDefault="008D23EE" w:rsidP="008D23EE">
      <w:pPr>
        <w:pStyle w:val="ListParagraph"/>
        <w:numPr>
          <w:ilvl w:val="1"/>
          <w:numId w:val="1"/>
        </w:numPr>
        <w:spacing w:after="0" w:line="240" w:lineRule="auto"/>
        <w:ind w:right="271"/>
        <w:rPr>
          <w:rFonts w:ascii="Arial" w:eastAsia="Times New Roman" w:hAnsi="Arial" w:cs="Arial"/>
          <w:sz w:val="24"/>
          <w:szCs w:val="24"/>
        </w:rPr>
      </w:pPr>
      <w:r w:rsidRPr="0013266C">
        <w:rPr>
          <w:rFonts w:ascii="Arial" w:eastAsia="Times New Roman" w:hAnsi="Arial" w:cs="Arial"/>
          <w:sz w:val="24"/>
          <w:szCs w:val="24"/>
        </w:rPr>
        <w:t xml:space="preserve">According to a meta-analysis of the scientific literature (R.W. Bohannon, A. Williams Andrews / Physiotherapy 97 (2011) 182–189) the average comfortable walking speed for a </w:t>
      </w:r>
      <w:r>
        <w:rPr>
          <w:rFonts w:ascii="Arial" w:eastAsia="Times New Roman" w:hAnsi="Arial" w:cs="Arial"/>
          <w:sz w:val="24"/>
          <w:szCs w:val="24"/>
        </w:rPr>
        <w:t xml:space="preserve">man </w:t>
      </w:r>
      <w:r w:rsidRPr="0013266C">
        <w:rPr>
          <w:rFonts w:ascii="Arial" w:eastAsia="Times New Roman" w:hAnsi="Arial" w:cs="Arial"/>
          <w:sz w:val="24"/>
          <w:szCs w:val="24"/>
        </w:rPr>
        <w:t xml:space="preserve">of </w:t>
      </w:r>
      <w:r>
        <w:rPr>
          <w:rFonts w:ascii="Arial" w:eastAsia="Times New Roman" w:hAnsi="Arial" w:cs="Arial"/>
          <w:sz w:val="24"/>
          <w:szCs w:val="24"/>
        </w:rPr>
        <w:t xml:space="preserve">Mr </w:t>
      </w:r>
      <w:r>
        <w:rPr>
          <w:rFonts w:ascii="Arial" w:eastAsia="Times New Roman" w:hAnsi="Arial" w:cs="Arial"/>
          <w:sz w:val="24"/>
          <w:szCs w:val="24"/>
        </w:rPr>
        <w:t>X</w:t>
      </w:r>
      <w:r>
        <w:rPr>
          <w:rFonts w:ascii="Arial" w:eastAsia="Times New Roman" w:hAnsi="Arial" w:cs="Arial"/>
          <w:sz w:val="24"/>
          <w:szCs w:val="24"/>
        </w:rPr>
        <w:t xml:space="preserve">’s </w:t>
      </w:r>
      <w:r w:rsidRPr="0013266C">
        <w:rPr>
          <w:rFonts w:ascii="Arial" w:eastAsia="Times New Roman" w:hAnsi="Arial" w:cs="Arial"/>
          <w:sz w:val="24"/>
          <w:szCs w:val="24"/>
        </w:rPr>
        <w:t>age is 1</w:t>
      </w:r>
      <w:r>
        <w:rPr>
          <w:rFonts w:ascii="Arial" w:eastAsia="Times New Roman" w:hAnsi="Arial" w:cs="Arial"/>
          <w:sz w:val="24"/>
          <w:szCs w:val="24"/>
        </w:rPr>
        <w:t>43.3</w:t>
      </w:r>
      <w:r w:rsidRPr="0013266C">
        <w:rPr>
          <w:rFonts w:ascii="Arial" w:eastAsia="Times New Roman" w:hAnsi="Arial" w:cs="Arial"/>
          <w:sz w:val="24"/>
          <w:szCs w:val="24"/>
        </w:rPr>
        <w:t>cm/second (</w:t>
      </w:r>
      <w:r>
        <w:rPr>
          <w:rFonts w:ascii="Arial" w:eastAsia="Times New Roman" w:hAnsi="Arial" w:cs="Arial"/>
          <w:sz w:val="24"/>
          <w:szCs w:val="24"/>
        </w:rPr>
        <w:t>85.98</w:t>
      </w:r>
      <w:r w:rsidRPr="0013266C">
        <w:rPr>
          <w:rFonts w:ascii="Arial" w:eastAsia="Times New Roman" w:hAnsi="Arial" w:cs="Arial"/>
          <w:sz w:val="24"/>
          <w:szCs w:val="24"/>
        </w:rPr>
        <w:t xml:space="preserve"> metres per minute).  It is arguable by analogy from CA/92/92 ( a case where the Commissioner considered the requirement in S72((1A) of the Social Security Contributions and Benefits Act for a comparison with younger persons in normal physical and mental health ) that this ought to be the speed that a person without a physical or mental  condition </w:t>
      </w:r>
      <w:r w:rsidRPr="0013266C">
        <w:rPr>
          <w:rFonts w:ascii="Arial" w:eastAsia="Times New Roman" w:hAnsi="Arial" w:cs="Arial"/>
          <w:sz w:val="24"/>
          <w:szCs w:val="24"/>
        </w:rPr>
        <w:lastRenderedPageBreak/>
        <w:t xml:space="preserve">would normally walk, so in the present case the time it would take for </w:t>
      </w:r>
      <w:r>
        <w:rPr>
          <w:rFonts w:ascii="Arial" w:eastAsia="Times New Roman" w:hAnsi="Arial" w:cs="Arial"/>
          <w:sz w:val="24"/>
          <w:szCs w:val="24"/>
        </w:rPr>
        <w:t xml:space="preserve">Mr </w:t>
      </w:r>
      <w:r>
        <w:rPr>
          <w:rFonts w:ascii="Arial" w:eastAsia="Times New Roman" w:hAnsi="Arial" w:cs="Arial"/>
          <w:sz w:val="24"/>
          <w:szCs w:val="24"/>
        </w:rPr>
        <w:t>X</w:t>
      </w:r>
      <w:r w:rsidRPr="0013266C">
        <w:rPr>
          <w:rFonts w:ascii="Arial" w:eastAsia="Times New Roman" w:hAnsi="Arial" w:cs="Arial"/>
          <w:sz w:val="24"/>
          <w:szCs w:val="24"/>
        </w:rPr>
        <w:t xml:space="preserve"> to walk 3</w:t>
      </w:r>
      <w:r>
        <w:rPr>
          <w:rFonts w:ascii="Arial" w:eastAsia="Times New Roman" w:hAnsi="Arial" w:cs="Arial"/>
          <w:sz w:val="24"/>
          <w:szCs w:val="24"/>
        </w:rPr>
        <w:t>7</w:t>
      </w:r>
      <w:r w:rsidRPr="0013266C">
        <w:rPr>
          <w:rFonts w:ascii="Arial" w:eastAsia="Times New Roman" w:hAnsi="Arial" w:cs="Arial"/>
          <w:sz w:val="24"/>
          <w:szCs w:val="24"/>
        </w:rPr>
        <w:t xml:space="preserve"> metres should be no longer than (3</w:t>
      </w:r>
      <w:r>
        <w:rPr>
          <w:rFonts w:ascii="Arial" w:eastAsia="Times New Roman" w:hAnsi="Arial" w:cs="Arial"/>
          <w:sz w:val="24"/>
          <w:szCs w:val="24"/>
        </w:rPr>
        <w:t>7</w:t>
      </w:r>
      <w:r w:rsidRPr="0013266C">
        <w:rPr>
          <w:rFonts w:ascii="Arial" w:eastAsia="Times New Roman" w:hAnsi="Arial" w:cs="Arial"/>
          <w:sz w:val="24"/>
          <w:szCs w:val="24"/>
        </w:rPr>
        <w:t xml:space="preserve">/ </w:t>
      </w:r>
      <w:r>
        <w:rPr>
          <w:rFonts w:ascii="Arial" w:eastAsia="Times New Roman" w:hAnsi="Arial" w:cs="Arial"/>
          <w:sz w:val="24"/>
          <w:szCs w:val="24"/>
        </w:rPr>
        <w:t>(85.98</w:t>
      </w:r>
      <w:r w:rsidRPr="0013266C">
        <w:rPr>
          <w:rFonts w:ascii="Arial" w:eastAsia="Times New Roman" w:hAnsi="Arial" w:cs="Arial"/>
          <w:sz w:val="24"/>
          <w:szCs w:val="24"/>
        </w:rPr>
        <w:t>/ 2)</w:t>
      </w:r>
      <w:r>
        <w:rPr>
          <w:rFonts w:ascii="Arial" w:eastAsia="Times New Roman" w:hAnsi="Arial" w:cs="Arial"/>
          <w:sz w:val="24"/>
          <w:szCs w:val="24"/>
        </w:rPr>
        <w:t>)</w:t>
      </w:r>
      <w:r w:rsidRPr="0013266C">
        <w:rPr>
          <w:rFonts w:ascii="Arial" w:eastAsia="Times New Roman" w:hAnsi="Arial" w:cs="Arial"/>
          <w:sz w:val="24"/>
          <w:szCs w:val="24"/>
        </w:rPr>
        <w:t xml:space="preserve"> x 60 seconds i.e. </w:t>
      </w:r>
      <w:r>
        <w:rPr>
          <w:rFonts w:ascii="Arial" w:eastAsia="Times New Roman" w:hAnsi="Arial" w:cs="Arial"/>
          <w:sz w:val="24"/>
          <w:szCs w:val="24"/>
        </w:rPr>
        <w:t>52</w:t>
      </w:r>
      <w:r w:rsidRPr="0013266C">
        <w:rPr>
          <w:rFonts w:ascii="Arial" w:eastAsia="Times New Roman" w:hAnsi="Arial" w:cs="Arial"/>
          <w:sz w:val="24"/>
          <w:szCs w:val="24"/>
        </w:rPr>
        <w:t xml:space="preserve"> seconds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59ACEAAD" w14:textId="77777777" w:rsidR="008D23EE" w:rsidRPr="0013266C" w:rsidRDefault="008D23EE" w:rsidP="008D23EE">
      <w:pPr>
        <w:pStyle w:val="ListParagraph"/>
        <w:spacing w:after="0" w:line="240" w:lineRule="auto"/>
        <w:ind w:left="1742" w:right="271"/>
        <w:rPr>
          <w:rFonts w:ascii="Arial" w:eastAsia="Times New Roman" w:hAnsi="Arial" w:cs="Arial"/>
          <w:sz w:val="24"/>
          <w:szCs w:val="24"/>
        </w:rPr>
      </w:pPr>
    </w:p>
    <w:p w14:paraId="59B3DFD7" w14:textId="27A5959C" w:rsidR="008D23EE" w:rsidRPr="009C40B8" w:rsidRDefault="008D23EE" w:rsidP="008D23EE">
      <w:pPr>
        <w:pStyle w:val="ListParagraph"/>
        <w:numPr>
          <w:ilvl w:val="1"/>
          <w:numId w:val="1"/>
        </w:numPr>
        <w:spacing w:after="0" w:line="240" w:lineRule="auto"/>
        <w:ind w:right="27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C40B8">
        <w:rPr>
          <w:rFonts w:ascii="Arial" w:eastAsia="Times New Roman" w:hAnsi="Arial" w:cs="Arial"/>
          <w:sz w:val="24"/>
          <w:szCs w:val="24"/>
        </w:rPr>
        <w:t xml:space="preserve"> The HCP was supposedly commissioned by the Respondent to produce a report that would assess </w:t>
      </w:r>
      <w:r>
        <w:rPr>
          <w:rFonts w:ascii="Arial" w:eastAsia="Times New Roman" w:hAnsi="Arial" w:cs="Arial"/>
          <w:sz w:val="24"/>
          <w:szCs w:val="24"/>
        </w:rPr>
        <w:t xml:space="preserve">Mr </w:t>
      </w:r>
      <w:r>
        <w:rPr>
          <w:rFonts w:ascii="Arial" w:eastAsia="Times New Roman" w:hAnsi="Arial" w:cs="Arial"/>
          <w:sz w:val="24"/>
          <w:szCs w:val="24"/>
        </w:rPr>
        <w:t>X</w:t>
      </w:r>
      <w:r>
        <w:rPr>
          <w:rFonts w:ascii="Arial" w:eastAsia="Times New Roman" w:hAnsi="Arial" w:cs="Arial"/>
          <w:sz w:val="24"/>
          <w:szCs w:val="24"/>
        </w:rPr>
        <w:t>’s</w:t>
      </w:r>
      <w:r w:rsidRPr="009C40B8">
        <w:rPr>
          <w:rFonts w:ascii="Arial" w:eastAsia="Times New Roman" w:hAnsi="Arial" w:cs="Arial"/>
          <w:sz w:val="24"/>
          <w:szCs w:val="24"/>
        </w:rPr>
        <w:t xml:space="preserve"> abilities in accordance with the provisions of Regulation 4.  She has effectively rubber stamped that report despite </w:t>
      </w:r>
      <w:r>
        <w:rPr>
          <w:rFonts w:ascii="Arial" w:eastAsia="Times New Roman" w:hAnsi="Arial" w:cs="Arial"/>
          <w:sz w:val="24"/>
          <w:szCs w:val="24"/>
        </w:rPr>
        <w:t>it clearly being unfit for purpose.</w:t>
      </w:r>
    </w:p>
    <w:p w14:paraId="649F11A5" w14:textId="77777777" w:rsidR="008D23EE" w:rsidRPr="009C40B8" w:rsidRDefault="008D23EE" w:rsidP="008D23EE">
      <w:pPr>
        <w:pStyle w:val="ListParagrap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4574DF47" w14:textId="77777777" w:rsidR="008D23EE" w:rsidRPr="009C40B8" w:rsidRDefault="008D23EE" w:rsidP="008D23EE">
      <w:pPr>
        <w:pStyle w:val="ListParagraph"/>
        <w:numPr>
          <w:ilvl w:val="1"/>
          <w:numId w:val="1"/>
        </w:numPr>
        <w:spacing w:after="0" w:line="240" w:lineRule="auto"/>
        <w:ind w:right="27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It is also strongly arguable that the Respondent’s own guidance as outlined above runs contrary to the provisions of Regulation 4(4)(c)</w:t>
      </w:r>
    </w:p>
    <w:p w14:paraId="1DE9D932" w14:textId="77777777" w:rsidR="007F3B41" w:rsidRDefault="007F3B41"/>
    <w:sectPr w:rsidR="007F3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65AD"/>
    <w:multiLevelType w:val="multilevel"/>
    <w:tmpl w:val="478A035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2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EE"/>
    <w:rsid w:val="00102B11"/>
    <w:rsid w:val="001A2D66"/>
    <w:rsid w:val="007F3B41"/>
    <w:rsid w:val="008D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05E6D"/>
  <w15:chartTrackingRefBased/>
  <w15:docId w15:val="{082AE9A2-852E-4746-A0B5-62EBD4E0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Stainsby</dc:creator>
  <cp:keywords/>
  <dc:description/>
  <cp:lastModifiedBy>Derek Stainsby</cp:lastModifiedBy>
  <cp:revision>1</cp:revision>
  <dcterms:created xsi:type="dcterms:W3CDTF">2020-08-12T16:15:00Z</dcterms:created>
  <dcterms:modified xsi:type="dcterms:W3CDTF">2020-08-12T16:17:00Z</dcterms:modified>
</cp:coreProperties>
</file>