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526"/>
        <w:gridCol w:w="3092"/>
        <w:gridCol w:w="3145"/>
        <w:gridCol w:w="2018"/>
      </w:tblGrid>
      <w:tr w:rsidR="00A6556F" w:rsidRPr="00950139" w14:paraId="29A95929" w14:textId="77777777" w:rsidTr="00D2330E">
        <w:tc>
          <w:tcPr>
            <w:tcW w:w="4618" w:type="dxa"/>
            <w:gridSpan w:val="2"/>
          </w:tcPr>
          <w:p w14:paraId="7660CEA5" w14:textId="77777777" w:rsidR="00A6556F" w:rsidRPr="00950139" w:rsidRDefault="009B14B4" w:rsidP="00A6556F">
            <w:pPr>
              <w:spacing w:after="0" w:line="240" w:lineRule="auto"/>
              <w:rPr>
                <w:rFonts w:ascii="Arial" w:eastAsia="Times New Roman" w:hAnsi="Arial" w:cs="Arial"/>
                <w:sz w:val="24"/>
                <w:szCs w:val="24"/>
                <w:lang w:eastAsia="ja-JP"/>
              </w:rPr>
            </w:pPr>
            <w:r>
              <w:rPr>
                <w:rFonts w:ascii="Arial" w:eastAsia="Times New Roman" w:hAnsi="Arial" w:cs="Arial"/>
                <w:sz w:val="24"/>
                <w:szCs w:val="24"/>
                <w:lang w:eastAsia="ja-JP"/>
              </w:rPr>
              <w:t>In The First Tier Tribunal (Social Entitlement Chamber)</w:t>
            </w:r>
          </w:p>
        </w:tc>
        <w:tc>
          <w:tcPr>
            <w:tcW w:w="5163" w:type="dxa"/>
            <w:gridSpan w:val="2"/>
          </w:tcPr>
          <w:p w14:paraId="7AE476AA" w14:textId="4B34BDC5" w:rsidR="00A6556F" w:rsidRPr="00950139" w:rsidRDefault="00A6556F" w:rsidP="00A6556F">
            <w:pPr>
              <w:spacing w:after="0" w:line="240" w:lineRule="auto"/>
              <w:jc w:val="right"/>
              <w:rPr>
                <w:rFonts w:ascii="Arial" w:eastAsia="Times New Roman" w:hAnsi="Arial" w:cs="Arial"/>
                <w:sz w:val="24"/>
                <w:szCs w:val="24"/>
                <w:lang w:eastAsia="ja-JP"/>
              </w:rPr>
            </w:pPr>
            <w:r w:rsidRPr="00950139">
              <w:rPr>
                <w:rFonts w:ascii="Arial" w:eastAsia="Times New Roman" w:hAnsi="Arial" w:cs="Arial"/>
                <w:sz w:val="24"/>
                <w:szCs w:val="24"/>
                <w:lang w:eastAsia="ja-JP"/>
              </w:rPr>
              <w:t>Case No:</w:t>
            </w:r>
            <w:r w:rsidRPr="00950139">
              <w:rPr>
                <w:rFonts w:ascii="Arial" w:eastAsia="Times New Roman" w:hAnsi="Arial" w:cs="Arial"/>
                <w:sz w:val="24"/>
                <w:szCs w:val="24"/>
              </w:rPr>
              <w:t xml:space="preserve"> </w:t>
            </w:r>
          </w:p>
        </w:tc>
      </w:tr>
      <w:tr w:rsidR="009B14B4" w:rsidRPr="00950139" w14:paraId="1E01908B" w14:textId="77777777" w:rsidTr="00D2330E">
        <w:tc>
          <w:tcPr>
            <w:tcW w:w="4618" w:type="dxa"/>
            <w:gridSpan w:val="2"/>
          </w:tcPr>
          <w:p w14:paraId="60CE480B" w14:textId="77777777" w:rsidR="009B14B4" w:rsidRPr="00950139" w:rsidRDefault="009B14B4" w:rsidP="00A6556F">
            <w:pPr>
              <w:spacing w:after="0" w:line="240" w:lineRule="auto"/>
              <w:rPr>
                <w:rFonts w:ascii="Arial" w:eastAsia="Times New Roman" w:hAnsi="Arial" w:cs="Arial"/>
                <w:sz w:val="24"/>
                <w:szCs w:val="24"/>
                <w:lang w:eastAsia="ja-JP"/>
              </w:rPr>
            </w:pPr>
          </w:p>
        </w:tc>
        <w:tc>
          <w:tcPr>
            <w:tcW w:w="5163" w:type="dxa"/>
            <w:gridSpan w:val="2"/>
          </w:tcPr>
          <w:p w14:paraId="64AEB924" w14:textId="77777777" w:rsidR="009B14B4" w:rsidRPr="00950139" w:rsidRDefault="009B14B4" w:rsidP="00A6556F">
            <w:pPr>
              <w:spacing w:after="0" w:line="240" w:lineRule="auto"/>
              <w:jc w:val="right"/>
              <w:rPr>
                <w:rFonts w:ascii="Arial" w:eastAsia="Times New Roman" w:hAnsi="Arial" w:cs="Arial"/>
                <w:sz w:val="24"/>
                <w:szCs w:val="24"/>
                <w:lang w:eastAsia="ja-JP"/>
              </w:rPr>
            </w:pPr>
          </w:p>
        </w:tc>
      </w:tr>
      <w:tr w:rsidR="00A6556F" w:rsidRPr="00950139" w14:paraId="17F4119F" w14:textId="77777777" w:rsidTr="00D2330E">
        <w:trPr>
          <w:cantSplit/>
        </w:trPr>
        <w:tc>
          <w:tcPr>
            <w:tcW w:w="9781" w:type="dxa"/>
            <w:gridSpan w:val="4"/>
          </w:tcPr>
          <w:p w14:paraId="3D12DEA4" w14:textId="77777777" w:rsidR="00A6556F" w:rsidRPr="00950139" w:rsidRDefault="00A6556F" w:rsidP="00A6556F">
            <w:pPr>
              <w:spacing w:after="0" w:line="240" w:lineRule="auto"/>
              <w:rPr>
                <w:rFonts w:ascii="Arial" w:eastAsia="Times New Roman" w:hAnsi="Arial" w:cs="Arial"/>
                <w:sz w:val="24"/>
                <w:szCs w:val="24"/>
                <w:lang w:eastAsia="ja-JP"/>
              </w:rPr>
            </w:pPr>
            <w:r w:rsidRPr="00950139">
              <w:rPr>
                <w:rFonts w:ascii="Arial" w:eastAsia="Times New Roman" w:hAnsi="Arial" w:cs="Arial"/>
                <w:sz w:val="24"/>
                <w:szCs w:val="24"/>
                <w:lang w:eastAsia="ja-JP"/>
              </w:rPr>
              <w:t>BETWEEN:</w:t>
            </w:r>
          </w:p>
        </w:tc>
      </w:tr>
      <w:tr w:rsidR="00A6556F" w:rsidRPr="00950139" w14:paraId="6E340532" w14:textId="77777777" w:rsidTr="00D2330E">
        <w:trPr>
          <w:cantSplit/>
        </w:trPr>
        <w:tc>
          <w:tcPr>
            <w:tcW w:w="1526" w:type="dxa"/>
            <w:vAlign w:val="center"/>
          </w:tcPr>
          <w:p w14:paraId="0954C4A7"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1408DD83" w14:textId="45832D50" w:rsidR="00A6556F" w:rsidRPr="00950139" w:rsidRDefault="000B0092" w:rsidP="00A6556F">
            <w:pPr>
              <w:spacing w:after="0" w:line="240" w:lineRule="auto"/>
              <w:jc w:val="center"/>
              <w:rPr>
                <w:rFonts w:ascii="Arial" w:eastAsia="Times New Roman" w:hAnsi="Arial" w:cs="Arial"/>
                <w:sz w:val="24"/>
                <w:szCs w:val="24"/>
                <w:lang w:eastAsia="ja-JP"/>
              </w:rPr>
            </w:pPr>
            <w:r>
              <w:rPr>
                <w:rFonts w:ascii="Arial" w:eastAsia="Times New Roman" w:hAnsi="Arial" w:cs="Arial"/>
                <w:sz w:val="24"/>
                <w:szCs w:val="24"/>
                <w:lang w:eastAsia="ja-JP"/>
              </w:rPr>
              <w:t xml:space="preserve">MR </w:t>
            </w:r>
            <w:r w:rsidR="00394A17">
              <w:rPr>
                <w:rFonts w:ascii="Arial" w:eastAsia="Times New Roman" w:hAnsi="Arial" w:cs="Arial"/>
                <w:sz w:val="24"/>
                <w:szCs w:val="24"/>
                <w:lang w:eastAsia="ja-JP"/>
              </w:rPr>
              <w:t>X</w:t>
            </w:r>
          </w:p>
        </w:tc>
        <w:tc>
          <w:tcPr>
            <w:tcW w:w="2018" w:type="dxa"/>
            <w:vAlign w:val="center"/>
          </w:tcPr>
          <w:p w14:paraId="3326AFD3"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Appellant</w:t>
            </w:r>
          </w:p>
        </w:tc>
      </w:tr>
      <w:tr w:rsidR="00A6556F" w:rsidRPr="00950139" w14:paraId="37F78B5A" w14:textId="77777777" w:rsidTr="00D2330E">
        <w:trPr>
          <w:cantSplit/>
          <w:trHeight w:val="95"/>
        </w:trPr>
        <w:tc>
          <w:tcPr>
            <w:tcW w:w="1526" w:type="dxa"/>
            <w:vAlign w:val="center"/>
          </w:tcPr>
          <w:p w14:paraId="5CB83D4F"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Pr>
          <w:p w14:paraId="2314DA24" w14:textId="77777777" w:rsidR="00A6556F" w:rsidRPr="00950139" w:rsidRDefault="00A6556F" w:rsidP="00A6556F">
            <w:pPr>
              <w:spacing w:after="0" w:line="240" w:lineRule="auto"/>
              <w:rPr>
                <w:rFonts w:ascii="Arial" w:eastAsia="Times New Roman" w:hAnsi="Arial" w:cs="Arial"/>
                <w:smallCaps/>
                <w:sz w:val="24"/>
                <w:szCs w:val="24"/>
                <w:lang w:eastAsia="ja-JP"/>
              </w:rPr>
            </w:pPr>
          </w:p>
        </w:tc>
        <w:tc>
          <w:tcPr>
            <w:tcW w:w="2018" w:type="dxa"/>
            <w:vAlign w:val="center"/>
          </w:tcPr>
          <w:p w14:paraId="720153C4" w14:textId="77777777" w:rsidR="00A6556F" w:rsidRPr="00950139" w:rsidRDefault="00A6556F" w:rsidP="00A6556F">
            <w:pPr>
              <w:spacing w:after="0" w:line="240" w:lineRule="auto"/>
              <w:rPr>
                <w:rFonts w:ascii="Arial" w:eastAsia="Times New Roman" w:hAnsi="Arial" w:cs="Arial"/>
                <w:sz w:val="24"/>
                <w:szCs w:val="24"/>
                <w:lang w:eastAsia="ja-JP"/>
              </w:rPr>
            </w:pPr>
          </w:p>
        </w:tc>
      </w:tr>
      <w:tr w:rsidR="00A6556F" w:rsidRPr="00950139" w14:paraId="6240B829" w14:textId="77777777" w:rsidTr="00D2330E">
        <w:trPr>
          <w:cantSplit/>
        </w:trPr>
        <w:tc>
          <w:tcPr>
            <w:tcW w:w="9781" w:type="dxa"/>
            <w:gridSpan w:val="4"/>
          </w:tcPr>
          <w:p w14:paraId="2EA9CCFE" w14:textId="77777777" w:rsidR="00A6556F" w:rsidRPr="00950139" w:rsidRDefault="00A6556F" w:rsidP="00A6556F">
            <w:pPr>
              <w:spacing w:after="0" w:line="240" w:lineRule="auto"/>
              <w:rPr>
                <w:rFonts w:ascii="Arial" w:eastAsia="Times New Roman" w:hAnsi="Arial" w:cs="Arial"/>
                <w:sz w:val="24"/>
                <w:szCs w:val="24"/>
                <w:lang w:eastAsia="ja-JP"/>
              </w:rPr>
            </w:pPr>
          </w:p>
          <w:p w14:paraId="432A092F"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 and -</w:t>
            </w:r>
          </w:p>
          <w:p w14:paraId="3EAF32E8"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r>
      <w:tr w:rsidR="00A6556F" w:rsidRPr="00950139" w14:paraId="5F48F77C" w14:textId="77777777" w:rsidTr="00D2330E">
        <w:trPr>
          <w:cantSplit/>
        </w:trPr>
        <w:tc>
          <w:tcPr>
            <w:tcW w:w="1526" w:type="dxa"/>
            <w:vAlign w:val="center"/>
          </w:tcPr>
          <w:p w14:paraId="67E5DA7A"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c>
          <w:tcPr>
            <w:tcW w:w="6237" w:type="dxa"/>
            <w:gridSpan w:val="2"/>
          </w:tcPr>
          <w:p w14:paraId="77FB7580" w14:textId="77777777" w:rsidR="00A6556F" w:rsidRPr="00950139" w:rsidRDefault="00A6556F" w:rsidP="00A6556F">
            <w:pPr>
              <w:spacing w:after="0" w:line="240" w:lineRule="auto"/>
              <w:jc w:val="center"/>
              <w:rPr>
                <w:rFonts w:ascii="Arial" w:eastAsia="Times New Roman" w:hAnsi="Arial" w:cs="Arial"/>
                <w:sz w:val="24"/>
                <w:szCs w:val="24"/>
                <w:lang w:eastAsia="ja-JP"/>
              </w:rPr>
            </w:pPr>
            <w:r w:rsidRPr="00950139">
              <w:rPr>
                <w:rFonts w:ascii="Arial" w:eastAsia="Times New Roman" w:hAnsi="Arial" w:cs="Arial"/>
                <w:sz w:val="24"/>
                <w:szCs w:val="24"/>
                <w:lang w:eastAsia="ja-JP"/>
              </w:rPr>
              <w:t>SECRETARY OF STATE FOR WORK AND PENSIONS</w:t>
            </w:r>
          </w:p>
        </w:tc>
        <w:tc>
          <w:tcPr>
            <w:tcW w:w="2018" w:type="dxa"/>
            <w:vAlign w:val="center"/>
          </w:tcPr>
          <w:p w14:paraId="04D7A105" w14:textId="77777777" w:rsidR="00A6556F" w:rsidRPr="00950139" w:rsidRDefault="00A6556F" w:rsidP="00A6556F">
            <w:pPr>
              <w:spacing w:after="0" w:line="240" w:lineRule="auto"/>
              <w:jc w:val="right"/>
              <w:rPr>
                <w:rFonts w:ascii="Arial" w:eastAsia="Times New Roman" w:hAnsi="Arial" w:cs="Arial"/>
                <w:b/>
                <w:sz w:val="24"/>
                <w:szCs w:val="24"/>
                <w:u w:val="single"/>
                <w:lang w:eastAsia="ja-JP"/>
              </w:rPr>
            </w:pPr>
            <w:r w:rsidRPr="00950139">
              <w:rPr>
                <w:rFonts w:ascii="Arial" w:eastAsia="Times New Roman" w:hAnsi="Arial" w:cs="Arial"/>
                <w:b/>
                <w:sz w:val="24"/>
                <w:szCs w:val="24"/>
                <w:u w:val="single"/>
                <w:lang w:eastAsia="ja-JP"/>
              </w:rPr>
              <w:t>Respondent</w:t>
            </w:r>
          </w:p>
        </w:tc>
      </w:tr>
      <w:tr w:rsidR="00A6556F" w:rsidRPr="00950139" w14:paraId="76BF6C59" w14:textId="77777777" w:rsidTr="00D2330E">
        <w:trPr>
          <w:cantSplit/>
        </w:trPr>
        <w:tc>
          <w:tcPr>
            <w:tcW w:w="1526" w:type="dxa"/>
          </w:tcPr>
          <w:p w14:paraId="0D4B3282"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6237" w:type="dxa"/>
            <w:gridSpan w:val="2"/>
          </w:tcPr>
          <w:p w14:paraId="18DD4C44"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c>
          <w:tcPr>
            <w:tcW w:w="2018" w:type="dxa"/>
            <w:vAlign w:val="center"/>
          </w:tcPr>
          <w:p w14:paraId="7CC39887" w14:textId="77777777" w:rsidR="00A6556F" w:rsidRPr="00950139" w:rsidRDefault="00A6556F" w:rsidP="00A6556F">
            <w:pPr>
              <w:spacing w:after="0" w:line="240" w:lineRule="auto"/>
              <w:jc w:val="right"/>
              <w:rPr>
                <w:rFonts w:ascii="Arial" w:eastAsia="Times New Roman" w:hAnsi="Arial" w:cs="Arial"/>
                <w:sz w:val="24"/>
                <w:szCs w:val="24"/>
                <w:lang w:eastAsia="ja-JP"/>
              </w:rPr>
            </w:pPr>
          </w:p>
        </w:tc>
      </w:tr>
      <w:tr w:rsidR="00A6556F" w:rsidRPr="00950139" w14:paraId="7FF15E57" w14:textId="77777777" w:rsidTr="00D2330E">
        <w:trPr>
          <w:cantSplit/>
        </w:trPr>
        <w:tc>
          <w:tcPr>
            <w:tcW w:w="9781" w:type="dxa"/>
            <w:gridSpan w:val="4"/>
          </w:tcPr>
          <w:p w14:paraId="28AC9589" w14:textId="77777777" w:rsidR="00A6556F" w:rsidRPr="00950139" w:rsidRDefault="00A6556F" w:rsidP="00A6556F">
            <w:pPr>
              <w:spacing w:after="0" w:line="240" w:lineRule="auto"/>
              <w:jc w:val="center"/>
              <w:rPr>
                <w:rFonts w:ascii="Arial" w:eastAsia="Times New Roman" w:hAnsi="Arial" w:cs="Arial"/>
                <w:smallCaps/>
                <w:sz w:val="24"/>
                <w:szCs w:val="24"/>
                <w:lang w:eastAsia="ja-JP"/>
              </w:rPr>
            </w:pPr>
          </w:p>
        </w:tc>
      </w:tr>
      <w:tr w:rsidR="00A6556F" w:rsidRPr="00950139" w14:paraId="6999ED75" w14:textId="77777777" w:rsidTr="00D2330E">
        <w:trPr>
          <w:cantSplit/>
        </w:trPr>
        <w:tc>
          <w:tcPr>
            <w:tcW w:w="1526" w:type="dxa"/>
          </w:tcPr>
          <w:p w14:paraId="69BD2AEF" w14:textId="77777777" w:rsidR="00A6556F" w:rsidRPr="00950139" w:rsidRDefault="00A6556F" w:rsidP="00A6556F">
            <w:pPr>
              <w:spacing w:after="0" w:line="240" w:lineRule="auto"/>
              <w:rPr>
                <w:rFonts w:ascii="Arial" w:eastAsia="Times New Roman" w:hAnsi="Arial" w:cs="Arial"/>
                <w:sz w:val="24"/>
                <w:szCs w:val="24"/>
                <w:lang w:eastAsia="ja-JP"/>
              </w:rPr>
            </w:pPr>
          </w:p>
        </w:tc>
        <w:tc>
          <w:tcPr>
            <w:tcW w:w="6237" w:type="dxa"/>
            <w:gridSpan w:val="2"/>
            <w:tcBorders>
              <w:top w:val="single" w:sz="4" w:space="0" w:color="auto"/>
              <w:bottom w:val="single" w:sz="4" w:space="0" w:color="auto"/>
            </w:tcBorders>
          </w:tcPr>
          <w:p w14:paraId="1925126E" w14:textId="77777777" w:rsidR="00A6556F" w:rsidRPr="00950139" w:rsidRDefault="00A6556F" w:rsidP="00A6556F">
            <w:pPr>
              <w:spacing w:after="0" w:line="240" w:lineRule="auto"/>
              <w:jc w:val="center"/>
              <w:rPr>
                <w:rFonts w:ascii="Arial" w:eastAsia="Times New Roman" w:hAnsi="Arial" w:cs="Arial"/>
                <w:sz w:val="24"/>
                <w:szCs w:val="24"/>
                <w:lang w:eastAsia="ja-JP"/>
              </w:rPr>
            </w:pPr>
          </w:p>
          <w:p w14:paraId="3E40C640" w14:textId="76890D9E" w:rsidR="00A6556F" w:rsidRPr="00950139" w:rsidRDefault="00A6556F" w:rsidP="00A6556F">
            <w:pPr>
              <w:spacing w:after="0" w:line="240" w:lineRule="auto"/>
              <w:jc w:val="center"/>
              <w:rPr>
                <w:rFonts w:ascii="Arial" w:eastAsia="Times New Roman" w:hAnsi="Arial" w:cs="Arial"/>
                <w:sz w:val="24"/>
                <w:szCs w:val="24"/>
              </w:rPr>
            </w:pPr>
            <w:r w:rsidRPr="00950139">
              <w:rPr>
                <w:rFonts w:ascii="Arial" w:eastAsia="Times New Roman" w:hAnsi="Arial" w:cs="Arial"/>
                <w:sz w:val="24"/>
                <w:szCs w:val="24"/>
              </w:rPr>
              <w:t>APPELLANT’S</w:t>
            </w:r>
            <w:r w:rsidR="00282586">
              <w:rPr>
                <w:rFonts w:ascii="Arial" w:eastAsia="Times New Roman" w:hAnsi="Arial" w:cs="Arial"/>
                <w:sz w:val="24"/>
                <w:szCs w:val="24"/>
              </w:rPr>
              <w:t xml:space="preserve"> </w:t>
            </w:r>
            <w:r w:rsidRPr="00950139">
              <w:rPr>
                <w:rFonts w:ascii="Arial" w:eastAsia="Times New Roman" w:hAnsi="Arial" w:cs="Arial"/>
                <w:sz w:val="24"/>
                <w:szCs w:val="24"/>
              </w:rPr>
              <w:t xml:space="preserve">SUBMISSIONS FOR THE HEARING </w:t>
            </w:r>
          </w:p>
          <w:p w14:paraId="5602593E" w14:textId="77777777" w:rsidR="00A6556F" w:rsidRPr="00950139" w:rsidRDefault="00A6556F" w:rsidP="00A6556F">
            <w:pPr>
              <w:spacing w:after="0" w:line="240" w:lineRule="auto"/>
              <w:jc w:val="center"/>
              <w:rPr>
                <w:rFonts w:ascii="Arial" w:eastAsia="Times New Roman" w:hAnsi="Arial" w:cs="Arial"/>
                <w:sz w:val="24"/>
                <w:szCs w:val="24"/>
                <w:lang w:eastAsia="ja-JP"/>
              </w:rPr>
            </w:pPr>
          </w:p>
        </w:tc>
        <w:tc>
          <w:tcPr>
            <w:tcW w:w="2018" w:type="dxa"/>
          </w:tcPr>
          <w:p w14:paraId="3326911E" w14:textId="77777777" w:rsidR="00A6556F" w:rsidRPr="00950139" w:rsidRDefault="00A6556F" w:rsidP="00A6556F">
            <w:pPr>
              <w:spacing w:after="0" w:line="240" w:lineRule="auto"/>
              <w:rPr>
                <w:rFonts w:ascii="Arial" w:eastAsia="Times New Roman" w:hAnsi="Arial" w:cs="Arial"/>
                <w:sz w:val="24"/>
                <w:szCs w:val="24"/>
                <w:lang w:eastAsia="ja-JP"/>
              </w:rPr>
            </w:pPr>
          </w:p>
        </w:tc>
      </w:tr>
    </w:tbl>
    <w:p w14:paraId="51379F3C" w14:textId="77777777" w:rsidR="00A6556F" w:rsidRPr="00950139" w:rsidRDefault="00A6556F" w:rsidP="00A6556F">
      <w:pPr>
        <w:spacing w:after="0" w:line="240" w:lineRule="auto"/>
        <w:rPr>
          <w:rFonts w:ascii="Arial" w:eastAsia="Times New Roman" w:hAnsi="Arial" w:cs="Arial"/>
          <w:sz w:val="20"/>
          <w:szCs w:val="20"/>
        </w:rPr>
      </w:pPr>
    </w:p>
    <w:p w14:paraId="5DE492B1"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24DC7E99" w14:textId="77777777" w:rsidR="00A6556F" w:rsidRPr="00A6556F" w:rsidRDefault="00A6556F" w:rsidP="00A6556F">
      <w:pPr>
        <w:spacing w:after="0" w:line="240" w:lineRule="auto"/>
        <w:rPr>
          <w:rFonts w:ascii="Times New Roman" w:eastAsia="Times New Roman" w:hAnsi="Times New Roman" w:cs="Times New Roman"/>
          <w:sz w:val="20"/>
          <w:szCs w:val="20"/>
        </w:rPr>
      </w:pPr>
    </w:p>
    <w:p w14:paraId="39F17572" w14:textId="77777777" w:rsidR="00004949" w:rsidRPr="00004949" w:rsidRDefault="00004949" w:rsidP="00004949">
      <w:pPr>
        <w:spacing w:after="0" w:line="240" w:lineRule="auto"/>
        <w:ind w:left="720" w:right="555"/>
        <w:rPr>
          <w:rFonts w:ascii="Arial" w:eastAsia="Times New Roman" w:hAnsi="Arial" w:cs="Arial"/>
          <w:sz w:val="24"/>
          <w:szCs w:val="24"/>
        </w:rPr>
      </w:pPr>
    </w:p>
    <w:p w14:paraId="7F336349" w14:textId="6DD5FA45" w:rsidR="00004949" w:rsidRDefault="002D0E7E" w:rsidP="00950139">
      <w:pPr>
        <w:numPr>
          <w:ilvl w:val="0"/>
          <w:numId w:val="1"/>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This is an appeal against the decision dated </w:t>
      </w:r>
      <w:r w:rsidR="000C2C45">
        <w:rPr>
          <w:rFonts w:ascii="Arial" w:eastAsia="Times New Roman" w:hAnsi="Arial" w:cs="Arial"/>
          <w:sz w:val="24"/>
          <w:szCs w:val="24"/>
        </w:rPr>
        <w:t>1 April 2019</w:t>
      </w:r>
      <w:r>
        <w:rPr>
          <w:rFonts w:ascii="Arial" w:eastAsia="Times New Roman" w:hAnsi="Arial" w:cs="Arial"/>
          <w:sz w:val="24"/>
          <w:szCs w:val="24"/>
        </w:rPr>
        <w:t xml:space="preserve"> as confirmed by the mandatory reconsideration (MR) on </w:t>
      </w:r>
      <w:r w:rsidR="000C2C45">
        <w:rPr>
          <w:rFonts w:ascii="Arial" w:eastAsia="Times New Roman" w:hAnsi="Arial" w:cs="Arial"/>
          <w:sz w:val="24"/>
          <w:szCs w:val="24"/>
        </w:rPr>
        <w:t xml:space="preserve">19 </w:t>
      </w:r>
      <w:r w:rsidR="007E2727">
        <w:rPr>
          <w:rFonts w:ascii="Arial" w:eastAsia="Times New Roman" w:hAnsi="Arial" w:cs="Arial"/>
          <w:sz w:val="24"/>
          <w:szCs w:val="24"/>
        </w:rPr>
        <w:t>July 2019</w:t>
      </w:r>
      <w:r>
        <w:rPr>
          <w:rFonts w:ascii="Arial" w:eastAsia="Times New Roman" w:hAnsi="Arial" w:cs="Arial"/>
          <w:sz w:val="24"/>
          <w:szCs w:val="24"/>
        </w:rPr>
        <w:t xml:space="preserve">.  The decision was to </w:t>
      </w:r>
      <w:r w:rsidR="000C2C45">
        <w:rPr>
          <w:rFonts w:ascii="Arial" w:eastAsia="Times New Roman" w:hAnsi="Arial" w:cs="Arial"/>
          <w:sz w:val="24"/>
          <w:szCs w:val="24"/>
        </w:rPr>
        <w:t>refuse the claim as 0 points were scored on all descriptors</w:t>
      </w:r>
      <w:r w:rsidR="007E2727">
        <w:rPr>
          <w:rFonts w:ascii="Arial" w:eastAsia="Times New Roman" w:hAnsi="Arial" w:cs="Arial"/>
          <w:sz w:val="24"/>
          <w:szCs w:val="24"/>
        </w:rPr>
        <w:t>.</w:t>
      </w:r>
    </w:p>
    <w:p w14:paraId="55C4D54C" w14:textId="77777777" w:rsidR="002D0E7E" w:rsidRDefault="002D0E7E" w:rsidP="002D0E7E">
      <w:pPr>
        <w:spacing w:after="0" w:line="240" w:lineRule="auto"/>
        <w:ind w:left="720" w:right="555"/>
        <w:rPr>
          <w:rFonts w:ascii="Arial" w:eastAsia="Times New Roman" w:hAnsi="Arial" w:cs="Arial"/>
          <w:sz w:val="24"/>
          <w:szCs w:val="24"/>
        </w:rPr>
      </w:pPr>
    </w:p>
    <w:p w14:paraId="32490E33" w14:textId="1B85522C" w:rsidR="002D0E7E" w:rsidRDefault="000C2C45" w:rsidP="00950139">
      <w:pPr>
        <w:numPr>
          <w:ilvl w:val="0"/>
          <w:numId w:val="1"/>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The disputed descriptors </w:t>
      </w:r>
      <w:r w:rsidR="003C64E1">
        <w:rPr>
          <w:rFonts w:ascii="Arial" w:eastAsia="Times New Roman" w:hAnsi="Arial" w:cs="Arial"/>
          <w:sz w:val="24"/>
          <w:szCs w:val="24"/>
        </w:rPr>
        <w:t>are to</w:t>
      </w:r>
      <w:r w:rsidR="00255A4B">
        <w:rPr>
          <w:rFonts w:ascii="Arial" w:eastAsia="Times New Roman" w:hAnsi="Arial" w:cs="Arial"/>
          <w:sz w:val="24"/>
          <w:szCs w:val="24"/>
        </w:rPr>
        <w:t xml:space="preserve"> a large </w:t>
      </w:r>
      <w:r w:rsidR="002C2A21">
        <w:rPr>
          <w:rFonts w:ascii="Arial" w:eastAsia="Times New Roman" w:hAnsi="Arial" w:cs="Arial"/>
          <w:sz w:val="24"/>
          <w:szCs w:val="24"/>
        </w:rPr>
        <w:t>extent outlined</w:t>
      </w:r>
      <w:r>
        <w:rPr>
          <w:rFonts w:ascii="Arial" w:eastAsia="Times New Roman" w:hAnsi="Arial" w:cs="Arial"/>
          <w:sz w:val="24"/>
          <w:szCs w:val="24"/>
        </w:rPr>
        <w:t xml:space="preserve"> on the letter supporting Mr </w:t>
      </w:r>
      <w:r w:rsidR="00394A17">
        <w:rPr>
          <w:rFonts w:ascii="Arial" w:eastAsia="Times New Roman" w:hAnsi="Arial" w:cs="Arial"/>
          <w:sz w:val="24"/>
          <w:szCs w:val="24"/>
        </w:rPr>
        <w:t>X</w:t>
      </w:r>
      <w:r>
        <w:rPr>
          <w:rFonts w:ascii="Arial" w:eastAsia="Times New Roman" w:hAnsi="Arial" w:cs="Arial"/>
          <w:sz w:val="24"/>
          <w:szCs w:val="24"/>
        </w:rPr>
        <w:t>’s application for his MR (</w:t>
      </w:r>
      <w:r w:rsidRPr="000C2C45">
        <w:rPr>
          <w:rFonts w:ascii="Arial" w:eastAsia="Times New Roman" w:hAnsi="Arial" w:cs="Arial"/>
          <w:b/>
          <w:bCs/>
          <w:sz w:val="24"/>
          <w:szCs w:val="24"/>
        </w:rPr>
        <w:t>pp75-77 of the bundle</w:t>
      </w:r>
      <w:r>
        <w:rPr>
          <w:rFonts w:ascii="Arial" w:eastAsia="Times New Roman" w:hAnsi="Arial" w:cs="Arial"/>
          <w:sz w:val="24"/>
          <w:szCs w:val="24"/>
        </w:rPr>
        <w:t xml:space="preserve">).  </w:t>
      </w:r>
      <w:r w:rsidR="002C2A21">
        <w:rPr>
          <w:rFonts w:ascii="Arial" w:eastAsia="Times New Roman" w:hAnsi="Arial" w:cs="Arial"/>
          <w:sz w:val="24"/>
          <w:szCs w:val="24"/>
        </w:rPr>
        <w:t>The author</w:t>
      </w:r>
      <w:r w:rsidR="00255A4B">
        <w:rPr>
          <w:rFonts w:ascii="Arial" w:eastAsia="Times New Roman" w:hAnsi="Arial" w:cs="Arial"/>
          <w:sz w:val="24"/>
          <w:szCs w:val="24"/>
        </w:rPr>
        <w:t xml:space="preserve"> of that letter,</w:t>
      </w:r>
      <w:r>
        <w:rPr>
          <w:rFonts w:ascii="Arial" w:eastAsia="Times New Roman" w:hAnsi="Arial" w:cs="Arial"/>
          <w:sz w:val="24"/>
          <w:szCs w:val="24"/>
        </w:rPr>
        <w:t xml:space="preserve"> Ms </w:t>
      </w:r>
      <w:r w:rsidR="00394A17">
        <w:rPr>
          <w:rFonts w:ascii="Arial" w:eastAsia="Times New Roman" w:hAnsi="Arial" w:cs="Arial"/>
          <w:sz w:val="24"/>
          <w:szCs w:val="24"/>
        </w:rPr>
        <w:t>Y</w:t>
      </w:r>
      <w:r>
        <w:rPr>
          <w:rFonts w:ascii="Arial" w:eastAsia="Times New Roman" w:hAnsi="Arial" w:cs="Arial"/>
          <w:sz w:val="24"/>
          <w:szCs w:val="24"/>
        </w:rPr>
        <w:t xml:space="preserve">, is a </w:t>
      </w:r>
      <w:r w:rsidR="00394A17">
        <w:rPr>
          <w:rFonts w:ascii="Arial" w:eastAsia="Times New Roman" w:hAnsi="Arial" w:cs="Arial"/>
          <w:sz w:val="24"/>
          <w:szCs w:val="24"/>
        </w:rPr>
        <w:t>…….</w:t>
      </w:r>
      <w:r>
        <w:rPr>
          <w:rFonts w:ascii="Arial" w:eastAsia="Times New Roman" w:hAnsi="Arial" w:cs="Arial"/>
          <w:sz w:val="24"/>
          <w:szCs w:val="24"/>
        </w:rPr>
        <w:t xml:space="preserve"> by profession.  She is also a former </w:t>
      </w:r>
      <w:r w:rsidR="007C4B57">
        <w:rPr>
          <w:rFonts w:ascii="Arial" w:eastAsia="Times New Roman" w:hAnsi="Arial" w:cs="Arial"/>
          <w:sz w:val="24"/>
          <w:szCs w:val="24"/>
        </w:rPr>
        <w:t>schoolteacher</w:t>
      </w:r>
      <w:r>
        <w:rPr>
          <w:rFonts w:ascii="Arial" w:eastAsia="Times New Roman" w:hAnsi="Arial" w:cs="Arial"/>
          <w:sz w:val="24"/>
          <w:szCs w:val="24"/>
        </w:rPr>
        <w:t xml:space="preserve"> and </w:t>
      </w:r>
      <w:r w:rsidR="007C4B57">
        <w:rPr>
          <w:rFonts w:ascii="Arial" w:eastAsia="Times New Roman" w:hAnsi="Arial" w:cs="Arial"/>
          <w:sz w:val="24"/>
          <w:szCs w:val="24"/>
        </w:rPr>
        <w:t xml:space="preserve">taught secondary age children with special needs.  She has </w:t>
      </w:r>
      <w:r w:rsidR="007E2727">
        <w:rPr>
          <w:rFonts w:ascii="Arial" w:eastAsia="Times New Roman" w:hAnsi="Arial" w:cs="Arial"/>
          <w:sz w:val="24"/>
          <w:szCs w:val="24"/>
        </w:rPr>
        <w:t>first-hand</w:t>
      </w:r>
      <w:r w:rsidR="007C4B57">
        <w:rPr>
          <w:rFonts w:ascii="Arial" w:eastAsia="Times New Roman" w:hAnsi="Arial" w:cs="Arial"/>
          <w:sz w:val="24"/>
          <w:szCs w:val="24"/>
        </w:rPr>
        <w:t xml:space="preserve"> experience of mental health problems.</w:t>
      </w:r>
    </w:p>
    <w:p w14:paraId="7BF3FDAF" w14:textId="77777777" w:rsidR="007C4B57" w:rsidRDefault="007C4B57" w:rsidP="007C4B57">
      <w:pPr>
        <w:pStyle w:val="ListParagraph"/>
        <w:rPr>
          <w:rFonts w:ascii="Arial" w:eastAsia="Times New Roman" w:hAnsi="Arial" w:cs="Arial"/>
          <w:sz w:val="24"/>
          <w:szCs w:val="24"/>
        </w:rPr>
      </w:pPr>
    </w:p>
    <w:p w14:paraId="7D5BC1EA" w14:textId="5A755840" w:rsidR="007E2727" w:rsidRDefault="007E2727" w:rsidP="007E2727">
      <w:pPr>
        <w:pStyle w:val="ListParagraph"/>
        <w:numPr>
          <w:ilvl w:val="1"/>
          <w:numId w:val="1"/>
        </w:numPr>
        <w:spacing w:after="0" w:line="240" w:lineRule="auto"/>
        <w:ind w:right="555"/>
        <w:rPr>
          <w:rFonts w:ascii="Arial" w:eastAsia="Times New Roman" w:hAnsi="Arial" w:cs="Arial"/>
          <w:sz w:val="24"/>
          <w:szCs w:val="24"/>
        </w:rPr>
      </w:pPr>
      <w:r w:rsidRPr="007E2727">
        <w:rPr>
          <w:rFonts w:ascii="Arial" w:eastAsia="Times New Roman" w:hAnsi="Arial" w:cs="Arial"/>
          <w:sz w:val="24"/>
          <w:szCs w:val="24"/>
        </w:rPr>
        <w:t xml:space="preserve">It is strongly arguable in the light of the above that in the context of Descriptor 9 (Engaging with People Face to Face) Ms </w:t>
      </w:r>
      <w:r w:rsidR="00394A17">
        <w:rPr>
          <w:rFonts w:ascii="Arial" w:eastAsia="Times New Roman" w:hAnsi="Arial" w:cs="Arial"/>
          <w:sz w:val="24"/>
          <w:szCs w:val="24"/>
        </w:rPr>
        <w:t xml:space="preserve">Y </w:t>
      </w:r>
      <w:r w:rsidRPr="007E2727">
        <w:rPr>
          <w:rFonts w:ascii="Arial" w:eastAsia="Times New Roman" w:hAnsi="Arial" w:cs="Arial"/>
          <w:sz w:val="24"/>
          <w:szCs w:val="24"/>
        </w:rPr>
        <w:t xml:space="preserve"> is providing social support rather than mere prompting.</w:t>
      </w:r>
      <w:r w:rsidR="00255A4B">
        <w:rPr>
          <w:rFonts w:ascii="Arial" w:eastAsia="Times New Roman" w:hAnsi="Arial" w:cs="Arial"/>
          <w:sz w:val="24"/>
          <w:szCs w:val="24"/>
        </w:rPr>
        <w:t xml:space="preserve"> </w:t>
      </w:r>
      <w:r w:rsidR="002C2A21">
        <w:rPr>
          <w:rFonts w:ascii="Arial" w:eastAsia="Times New Roman" w:hAnsi="Arial" w:cs="Arial"/>
          <w:sz w:val="24"/>
          <w:szCs w:val="24"/>
        </w:rPr>
        <w:t>(I</w:t>
      </w:r>
      <w:r w:rsidR="00255A4B">
        <w:rPr>
          <w:rFonts w:ascii="Arial" w:eastAsia="Times New Roman" w:hAnsi="Arial" w:cs="Arial"/>
          <w:sz w:val="24"/>
          <w:szCs w:val="24"/>
        </w:rPr>
        <w:t xml:space="preserve"> will discuss this further at [</w:t>
      </w:r>
      <w:r w:rsidR="002C2A21">
        <w:rPr>
          <w:rFonts w:ascii="Arial" w:eastAsia="Times New Roman" w:hAnsi="Arial" w:cs="Arial"/>
          <w:sz w:val="24"/>
          <w:szCs w:val="24"/>
        </w:rPr>
        <w:t>21</w:t>
      </w:r>
      <w:r w:rsidR="00255A4B">
        <w:rPr>
          <w:rFonts w:ascii="Arial" w:eastAsia="Times New Roman" w:hAnsi="Arial" w:cs="Arial"/>
          <w:sz w:val="24"/>
          <w:szCs w:val="24"/>
        </w:rPr>
        <w:t>]</w:t>
      </w:r>
      <w:r w:rsidR="002C2A21">
        <w:rPr>
          <w:rFonts w:ascii="Arial" w:eastAsia="Times New Roman" w:hAnsi="Arial" w:cs="Arial"/>
          <w:sz w:val="24"/>
          <w:szCs w:val="24"/>
        </w:rPr>
        <w:t>-[21.1]</w:t>
      </w:r>
      <w:r w:rsidR="00255A4B">
        <w:rPr>
          <w:rFonts w:ascii="Arial" w:eastAsia="Times New Roman" w:hAnsi="Arial" w:cs="Arial"/>
          <w:sz w:val="24"/>
          <w:szCs w:val="24"/>
        </w:rPr>
        <w:t xml:space="preserve"> below)</w:t>
      </w:r>
    </w:p>
    <w:p w14:paraId="3840EC71" w14:textId="77777777" w:rsidR="007E2727" w:rsidRPr="007E2727" w:rsidRDefault="007E2727" w:rsidP="007E2727">
      <w:pPr>
        <w:pStyle w:val="ListParagraph"/>
        <w:spacing w:after="0" w:line="240" w:lineRule="auto"/>
        <w:ind w:left="1069" w:right="555"/>
        <w:rPr>
          <w:rFonts w:ascii="Arial" w:eastAsia="Times New Roman" w:hAnsi="Arial" w:cs="Arial"/>
          <w:sz w:val="24"/>
          <w:szCs w:val="24"/>
        </w:rPr>
      </w:pPr>
    </w:p>
    <w:p w14:paraId="17C3A72E" w14:textId="02371AC2" w:rsidR="00AA5BAA" w:rsidRDefault="007E2727" w:rsidP="007E2727">
      <w:pPr>
        <w:pStyle w:val="ListParagraph"/>
        <w:numPr>
          <w:ilvl w:val="1"/>
          <w:numId w:val="1"/>
        </w:numPr>
        <w:spacing w:after="0" w:line="240" w:lineRule="auto"/>
        <w:ind w:right="555"/>
        <w:rPr>
          <w:rFonts w:ascii="Arial" w:eastAsia="Times New Roman" w:hAnsi="Arial" w:cs="Arial"/>
          <w:sz w:val="24"/>
          <w:szCs w:val="24"/>
        </w:rPr>
      </w:pPr>
      <w:r w:rsidRPr="007E2727">
        <w:rPr>
          <w:rFonts w:ascii="Arial" w:eastAsia="Times New Roman" w:hAnsi="Arial" w:cs="Arial"/>
          <w:sz w:val="24"/>
          <w:szCs w:val="24"/>
        </w:rPr>
        <w:t xml:space="preserve"> </w:t>
      </w:r>
      <w:r>
        <w:rPr>
          <w:rFonts w:ascii="Arial" w:eastAsia="Times New Roman" w:hAnsi="Arial" w:cs="Arial"/>
          <w:sz w:val="24"/>
          <w:szCs w:val="24"/>
        </w:rPr>
        <w:t xml:space="preserve">I broadly concur with Ms </w:t>
      </w:r>
      <w:r w:rsidR="00394A17">
        <w:rPr>
          <w:rFonts w:ascii="Arial" w:eastAsia="Times New Roman" w:hAnsi="Arial" w:cs="Arial"/>
          <w:sz w:val="24"/>
          <w:szCs w:val="24"/>
        </w:rPr>
        <w:t>Y’s</w:t>
      </w:r>
      <w:r>
        <w:rPr>
          <w:rFonts w:ascii="Arial" w:eastAsia="Times New Roman" w:hAnsi="Arial" w:cs="Arial"/>
          <w:sz w:val="24"/>
          <w:szCs w:val="24"/>
        </w:rPr>
        <w:t xml:space="preserve"> observations re the Descriptors that are satisfied </w:t>
      </w:r>
      <w:r w:rsidR="00845BC5">
        <w:rPr>
          <w:rFonts w:ascii="Arial" w:eastAsia="Times New Roman" w:hAnsi="Arial" w:cs="Arial"/>
          <w:sz w:val="24"/>
          <w:szCs w:val="24"/>
        </w:rPr>
        <w:t>but I</w:t>
      </w:r>
      <w:r>
        <w:rPr>
          <w:rFonts w:ascii="Arial" w:eastAsia="Times New Roman" w:hAnsi="Arial" w:cs="Arial"/>
          <w:sz w:val="24"/>
          <w:szCs w:val="24"/>
        </w:rPr>
        <w:t xml:space="preserve"> suggest that </w:t>
      </w:r>
      <w:r w:rsidR="00845BC5">
        <w:rPr>
          <w:rFonts w:ascii="Arial" w:eastAsia="Times New Roman" w:hAnsi="Arial" w:cs="Arial"/>
          <w:sz w:val="24"/>
          <w:szCs w:val="24"/>
        </w:rPr>
        <w:t>she may not have been clear enough</w:t>
      </w:r>
      <w:r w:rsidR="00B87F91">
        <w:rPr>
          <w:rFonts w:ascii="Arial" w:eastAsia="Times New Roman" w:hAnsi="Arial" w:cs="Arial"/>
          <w:sz w:val="24"/>
          <w:szCs w:val="24"/>
        </w:rPr>
        <w:t xml:space="preserve"> in places </w:t>
      </w:r>
      <w:r w:rsidR="00B012BC">
        <w:rPr>
          <w:rFonts w:ascii="Arial" w:eastAsia="Times New Roman" w:hAnsi="Arial" w:cs="Arial"/>
          <w:sz w:val="24"/>
          <w:szCs w:val="24"/>
        </w:rPr>
        <w:t>and that</w:t>
      </w:r>
      <w:r w:rsidR="00B87F91">
        <w:rPr>
          <w:rFonts w:ascii="Arial" w:eastAsia="Times New Roman" w:hAnsi="Arial" w:cs="Arial"/>
          <w:sz w:val="24"/>
          <w:szCs w:val="24"/>
        </w:rPr>
        <w:t xml:space="preserve"> </w:t>
      </w:r>
      <w:r w:rsidR="00E8551B">
        <w:rPr>
          <w:rFonts w:ascii="Arial" w:eastAsia="Times New Roman" w:hAnsi="Arial" w:cs="Arial"/>
          <w:sz w:val="24"/>
          <w:szCs w:val="24"/>
        </w:rPr>
        <w:t>she may have misunderstood some of the Descriptors.</w:t>
      </w:r>
    </w:p>
    <w:p w14:paraId="47F15BB0" w14:textId="77777777" w:rsidR="00AA5BAA" w:rsidRPr="00AA5BAA" w:rsidRDefault="00AA5BAA" w:rsidP="00AA5BAA">
      <w:pPr>
        <w:pStyle w:val="ListParagraph"/>
        <w:rPr>
          <w:rFonts w:ascii="Arial" w:eastAsia="Times New Roman" w:hAnsi="Arial" w:cs="Arial"/>
          <w:sz w:val="24"/>
          <w:szCs w:val="24"/>
        </w:rPr>
      </w:pPr>
    </w:p>
    <w:p w14:paraId="67E2DCB8" w14:textId="2D731927" w:rsidR="00AA5BAA" w:rsidRDefault="00AA5BAA" w:rsidP="007E2727">
      <w:pPr>
        <w:pStyle w:val="ListParagraph"/>
        <w:numPr>
          <w:ilvl w:val="1"/>
          <w:numId w:val="1"/>
        </w:numPr>
        <w:spacing w:after="0" w:line="240" w:lineRule="auto"/>
        <w:ind w:right="555"/>
        <w:rPr>
          <w:rFonts w:ascii="Arial" w:eastAsia="Times New Roman" w:hAnsi="Arial" w:cs="Arial"/>
          <w:sz w:val="24"/>
          <w:szCs w:val="24"/>
        </w:rPr>
      </w:pPr>
      <w:r>
        <w:rPr>
          <w:rFonts w:ascii="Arial" w:eastAsia="Times New Roman" w:hAnsi="Arial" w:cs="Arial"/>
          <w:sz w:val="24"/>
          <w:szCs w:val="24"/>
        </w:rPr>
        <w:t>It seems to me that neither M</w:t>
      </w:r>
      <w:r w:rsidR="00394A17">
        <w:rPr>
          <w:rFonts w:ascii="Arial" w:eastAsia="Times New Roman" w:hAnsi="Arial" w:cs="Arial"/>
          <w:sz w:val="24"/>
          <w:szCs w:val="24"/>
        </w:rPr>
        <w:t>b</w:t>
      </w:r>
      <w:r>
        <w:rPr>
          <w:rFonts w:ascii="Arial" w:eastAsia="Times New Roman" w:hAnsi="Arial" w:cs="Arial"/>
          <w:sz w:val="24"/>
          <w:szCs w:val="24"/>
        </w:rPr>
        <w:t xml:space="preserve"> </w:t>
      </w:r>
      <w:r w:rsidR="00394A17">
        <w:rPr>
          <w:rFonts w:ascii="Arial" w:eastAsia="Times New Roman" w:hAnsi="Arial" w:cs="Arial"/>
          <w:sz w:val="24"/>
          <w:szCs w:val="24"/>
        </w:rPr>
        <w:t>X</w:t>
      </w:r>
      <w:r>
        <w:rPr>
          <w:rFonts w:ascii="Arial" w:eastAsia="Times New Roman" w:hAnsi="Arial" w:cs="Arial"/>
          <w:sz w:val="24"/>
          <w:szCs w:val="24"/>
        </w:rPr>
        <w:t xml:space="preserve"> nor Ms </w:t>
      </w:r>
      <w:r w:rsidR="00394A17">
        <w:rPr>
          <w:rFonts w:ascii="Arial" w:eastAsia="Times New Roman" w:hAnsi="Arial" w:cs="Arial"/>
          <w:sz w:val="24"/>
          <w:szCs w:val="24"/>
        </w:rPr>
        <w:t xml:space="preserve">Y </w:t>
      </w:r>
      <w:r>
        <w:rPr>
          <w:rFonts w:ascii="Arial" w:eastAsia="Times New Roman" w:hAnsi="Arial" w:cs="Arial"/>
          <w:sz w:val="24"/>
          <w:szCs w:val="24"/>
        </w:rPr>
        <w:t xml:space="preserve"> are aware of the</w:t>
      </w:r>
      <w:r w:rsidR="00B5121D">
        <w:rPr>
          <w:rFonts w:ascii="Arial" w:eastAsia="Times New Roman" w:hAnsi="Arial" w:cs="Arial"/>
          <w:sz w:val="24"/>
          <w:szCs w:val="24"/>
        </w:rPr>
        <w:t xml:space="preserve"> various</w:t>
      </w:r>
      <w:r>
        <w:rPr>
          <w:rFonts w:ascii="Arial" w:eastAsia="Times New Roman" w:hAnsi="Arial" w:cs="Arial"/>
          <w:sz w:val="24"/>
          <w:szCs w:val="24"/>
        </w:rPr>
        <w:t xml:space="preserve"> aids</w:t>
      </w:r>
      <w:r w:rsidR="00F44C5A">
        <w:rPr>
          <w:rFonts w:ascii="Arial" w:eastAsia="Times New Roman" w:hAnsi="Arial" w:cs="Arial"/>
          <w:sz w:val="24"/>
          <w:szCs w:val="24"/>
        </w:rPr>
        <w:t xml:space="preserve"> and appliances</w:t>
      </w:r>
      <w:r w:rsidR="00B5121D">
        <w:rPr>
          <w:rFonts w:ascii="Arial" w:eastAsia="Times New Roman" w:hAnsi="Arial" w:cs="Arial"/>
          <w:sz w:val="24"/>
          <w:szCs w:val="24"/>
        </w:rPr>
        <w:t xml:space="preserve"> that are </w:t>
      </w:r>
      <w:r w:rsidR="008424DF">
        <w:rPr>
          <w:rFonts w:ascii="Arial" w:eastAsia="Times New Roman" w:hAnsi="Arial" w:cs="Arial"/>
          <w:sz w:val="24"/>
          <w:szCs w:val="24"/>
        </w:rPr>
        <w:t>available such</w:t>
      </w:r>
      <w:r w:rsidR="00F44C5A">
        <w:rPr>
          <w:rFonts w:ascii="Arial" w:eastAsia="Times New Roman" w:hAnsi="Arial" w:cs="Arial"/>
          <w:sz w:val="24"/>
          <w:szCs w:val="24"/>
        </w:rPr>
        <w:t xml:space="preserve"> </w:t>
      </w:r>
      <w:r w:rsidR="00B012BC">
        <w:rPr>
          <w:rFonts w:ascii="Arial" w:eastAsia="Times New Roman" w:hAnsi="Arial" w:cs="Arial"/>
          <w:sz w:val="24"/>
          <w:szCs w:val="24"/>
        </w:rPr>
        <w:t xml:space="preserve">as </w:t>
      </w:r>
      <w:r w:rsidR="00B012BC" w:rsidRPr="00F44C5A">
        <w:rPr>
          <w:rFonts w:ascii="Arial" w:eastAsia="Times New Roman" w:hAnsi="Arial" w:cs="Arial"/>
          <w:sz w:val="24"/>
          <w:szCs w:val="24"/>
        </w:rPr>
        <w:t>devices that</w:t>
      </w:r>
      <w:r w:rsidRPr="00F44C5A">
        <w:rPr>
          <w:rFonts w:ascii="Arial" w:eastAsia="Times New Roman" w:hAnsi="Arial" w:cs="Arial"/>
          <w:sz w:val="24"/>
          <w:szCs w:val="24"/>
        </w:rPr>
        <w:t xml:space="preserve"> effectively clamp vegetables </w:t>
      </w:r>
      <w:r w:rsidR="00F44C5A">
        <w:rPr>
          <w:rFonts w:ascii="Arial" w:eastAsia="Times New Roman" w:hAnsi="Arial" w:cs="Arial"/>
          <w:sz w:val="24"/>
          <w:szCs w:val="24"/>
        </w:rPr>
        <w:t>like</w:t>
      </w:r>
      <w:r w:rsidRPr="00F44C5A">
        <w:rPr>
          <w:rFonts w:ascii="Arial" w:eastAsia="Times New Roman" w:hAnsi="Arial" w:cs="Arial"/>
          <w:sz w:val="24"/>
          <w:szCs w:val="24"/>
        </w:rPr>
        <w:t xml:space="preserve"> </w:t>
      </w:r>
      <w:r w:rsidR="00B012BC" w:rsidRPr="00F44C5A">
        <w:rPr>
          <w:rFonts w:ascii="Arial" w:eastAsia="Times New Roman" w:hAnsi="Arial" w:cs="Arial"/>
          <w:sz w:val="24"/>
          <w:szCs w:val="24"/>
        </w:rPr>
        <w:t>potatoes so</w:t>
      </w:r>
      <w:r w:rsidR="00B012BC">
        <w:rPr>
          <w:rFonts w:ascii="Arial" w:eastAsia="Times New Roman" w:hAnsi="Arial" w:cs="Arial"/>
          <w:sz w:val="24"/>
          <w:szCs w:val="24"/>
        </w:rPr>
        <w:t xml:space="preserve"> as</w:t>
      </w:r>
      <w:r w:rsidR="00F44C5A" w:rsidRPr="00F44C5A">
        <w:rPr>
          <w:rFonts w:ascii="Arial" w:eastAsia="Times New Roman" w:hAnsi="Arial" w:cs="Arial"/>
          <w:sz w:val="24"/>
          <w:szCs w:val="24"/>
        </w:rPr>
        <w:t xml:space="preserve"> </w:t>
      </w:r>
      <w:r w:rsidRPr="00F44C5A">
        <w:rPr>
          <w:rFonts w:ascii="Arial" w:eastAsia="Times New Roman" w:hAnsi="Arial" w:cs="Arial"/>
          <w:sz w:val="24"/>
          <w:szCs w:val="24"/>
        </w:rPr>
        <w:t>to enable the person to peel using only one hand</w:t>
      </w:r>
      <w:r>
        <w:rPr>
          <w:rFonts w:ascii="Arial" w:eastAsia="Times New Roman" w:hAnsi="Arial" w:cs="Arial"/>
          <w:sz w:val="24"/>
          <w:szCs w:val="24"/>
        </w:rPr>
        <w:t>.</w:t>
      </w:r>
      <w:r w:rsidR="00F44C5A">
        <w:rPr>
          <w:rFonts w:ascii="Arial" w:eastAsia="Times New Roman" w:hAnsi="Arial" w:cs="Arial"/>
          <w:sz w:val="24"/>
          <w:szCs w:val="24"/>
        </w:rPr>
        <w:t xml:space="preserve"> </w:t>
      </w:r>
      <w:r>
        <w:rPr>
          <w:rFonts w:ascii="Arial" w:eastAsia="Times New Roman" w:hAnsi="Arial" w:cs="Arial"/>
          <w:sz w:val="24"/>
          <w:szCs w:val="24"/>
        </w:rPr>
        <w:t>(I was not aware of such devices myself until a disability qualified member of a Tribunal brough</w:t>
      </w:r>
      <w:r w:rsidR="00F44C5A">
        <w:rPr>
          <w:rFonts w:ascii="Arial" w:eastAsia="Times New Roman" w:hAnsi="Arial" w:cs="Arial"/>
          <w:sz w:val="24"/>
          <w:szCs w:val="24"/>
        </w:rPr>
        <w:t>t</w:t>
      </w:r>
      <w:r>
        <w:rPr>
          <w:rFonts w:ascii="Arial" w:eastAsia="Times New Roman" w:hAnsi="Arial" w:cs="Arial"/>
          <w:sz w:val="24"/>
          <w:szCs w:val="24"/>
        </w:rPr>
        <w:t xml:space="preserve"> them to my attention)</w:t>
      </w:r>
    </w:p>
    <w:p w14:paraId="053A66C6" w14:textId="77777777" w:rsidR="00AA5BAA" w:rsidRPr="00AA5BAA" w:rsidRDefault="00AA5BAA" w:rsidP="00AA5BAA">
      <w:pPr>
        <w:pStyle w:val="ListParagraph"/>
        <w:rPr>
          <w:rFonts w:ascii="Arial" w:eastAsia="Times New Roman" w:hAnsi="Arial" w:cs="Arial"/>
          <w:sz w:val="24"/>
          <w:szCs w:val="24"/>
        </w:rPr>
      </w:pPr>
    </w:p>
    <w:p w14:paraId="69BA7CB1" w14:textId="127BF49C" w:rsidR="00D67426" w:rsidRDefault="00AA5BAA" w:rsidP="00D67426">
      <w:pPr>
        <w:pStyle w:val="ListParagraph"/>
        <w:numPr>
          <w:ilvl w:val="1"/>
          <w:numId w:val="1"/>
        </w:numPr>
        <w:spacing w:after="0" w:line="240" w:lineRule="auto"/>
        <w:ind w:right="555"/>
        <w:rPr>
          <w:rFonts w:ascii="Arial" w:eastAsia="Times New Roman" w:hAnsi="Arial" w:cs="Arial"/>
          <w:sz w:val="24"/>
          <w:szCs w:val="24"/>
        </w:rPr>
      </w:pPr>
      <w:r w:rsidRPr="005104E0">
        <w:rPr>
          <w:rFonts w:ascii="Arial" w:eastAsia="Times New Roman" w:hAnsi="Arial" w:cs="Arial"/>
          <w:sz w:val="24"/>
          <w:szCs w:val="24"/>
        </w:rPr>
        <w:t xml:space="preserve"> Mr </w:t>
      </w:r>
      <w:r w:rsidR="00394A17">
        <w:rPr>
          <w:rFonts w:ascii="Arial" w:eastAsia="Times New Roman" w:hAnsi="Arial" w:cs="Arial"/>
          <w:sz w:val="24"/>
          <w:szCs w:val="24"/>
        </w:rPr>
        <w:t>X</w:t>
      </w:r>
      <w:r w:rsidRPr="005104E0">
        <w:rPr>
          <w:rFonts w:ascii="Arial" w:eastAsia="Times New Roman" w:hAnsi="Arial" w:cs="Arial"/>
          <w:sz w:val="24"/>
          <w:szCs w:val="24"/>
        </w:rPr>
        <w:t>’s PIP2 form might not be completely accurate in the sense that it may well be that he could complete certain daily living activities with the appropriate aids or appliances rather than  assistance from another person</w:t>
      </w:r>
      <w:r w:rsidR="00D67426" w:rsidRPr="005104E0">
        <w:rPr>
          <w:rFonts w:ascii="Arial" w:eastAsia="Times New Roman" w:hAnsi="Arial" w:cs="Arial"/>
          <w:sz w:val="24"/>
          <w:szCs w:val="24"/>
        </w:rPr>
        <w:t xml:space="preserve">, </w:t>
      </w:r>
      <w:r w:rsidR="00FA3BAE" w:rsidRPr="005104E0">
        <w:rPr>
          <w:rFonts w:ascii="Arial" w:eastAsia="Times New Roman" w:hAnsi="Arial" w:cs="Arial"/>
          <w:sz w:val="24"/>
          <w:szCs w:val="24"/>
        </w:rPr>
        <w:t>bu</w:t>
      </w:r>
      <w:r w:rsidR="005104E0" w:rsidRPr="005104E0">
        <w:rPr>
          <w:rFonts w:ascii="Arial" w:eastAsia="Times New Roman" w:hAnsi="Arial" w:cs="Arial"/>
          <w:sz w:val="24"/>
          <w:szCs w:val="24"/>
        </w:rPr>
        <w:t>t I</w:t>
      </w:r>
      <w:r w:rsidR="00FA3BAE" w:rsidRPr="005104E0">
        <w:rPr>
          <w:rFonts w:ascii="Arial" w:eastAsia="Times New Roman" w:hAnsi="Arial" w:cs="Arial"/>
          <w:sz w:val="24"/>
          <w:szCs w:val="24"/>
        </w:rPr>
        <w:t xml:space="preserve"> </w:t>
      </w:r>
      <w:r w:rsidR="00D67426" w:rsidRPr="005104E0">
        <w:rPr>
          <w:rFonts w:ascii="Arial" w:eastAsia="Times New Roman" w:hAnsi="Arial" w:cs="Arial"/>
          <w:sz w:val="24"/>
          <w:szCs w:val="24"/>
        </w:rPr>
        <w:t xml:space="preserve"> am reminded that the test is whether something may be reasonably required so as to enable the task to be carried out to an acceptable standard</w:t>
      </w:r>
    </w:p>
    <w:p w14:paraId="1FFF60EC" w14:textId="77777777" w:rsidR="005104E0" w:rsidRPr="005104E0" w:rsidRDefault="005104E0" w:rsidP="005104E0">
      <w:pPr>
        <w:pStyle w:val="ListParagraph"/>
        <w:rPr>
          <w:rFonts w:ascii="Arial" w:eastAsia="Times New Roman" w:hAnsi="Arial" w:cs="Arial"/>
          <w:sz w:val="24"/>
          <w:szCs w:val="24"/>
        </w:rPr>
      </w:pPr>
    </w:p>
    <w:p w14:paraId="05FCC4AA" w14:textId="084AA660" w:rsidR="00D67426" w:rsidRPr="005104E0" w:rsidRDefault="005104E0" w:rsidP="007E2727">
      <w:pPr>
        <w:pStyle w:val="ListParagraph"/>
        <w:numPr>
          <w:ilvl w:val="1"/>
          <w:numId w:val="1"/>
        </w:numPr>
        <w:spacing w:after="0" w:line="240" w:lineRule="auto"/>
        <w:ind w:right="555"/>
        <w:rPr>
          <w:rFonts w:ascii="Arial" w:eastAsia="Times New Roman" w:hAnsi="Arial" w:cs="Arial"/>
          <w:sz w:val="24"/>
          <w:szCs w:val="24"/>
        </w:rPr>
      </w:pPr>
      <w:r w:rsidRPr="005104E0">
        <w:rPr>
          <w:rFonts w:ascii="Arial" w:eastAsia="Times New Roman" w:hAnsi="Arial" w:cs="Arial"/>
          <w:sz w:val="24"/>
          <w:szCs w:val="24"/>
        </w:rPr>
        <w:t xml:space="preserve"> It is clear that Mr </w:t>
      </w:r>
      <w:r w:rsidR="00394A17">
        <w:rPr>
          <w:rFonts w:ascii="Arial" w:eastAsia="Times New Roman" w:hAnsi="Arial" w:cs="Arial"/>
          <w:sz w:val="24"/>
          <w:szCs w:val="24"/>
        </w:rPr>
        <w:t>X</w:t>
      </w:r>
      <w:r w:rsidRPr="005104E0">
        <w:rPr>
          <w:rFonts w:ascii="Arial" w:eastAsia="Times New Roman" w:hAnsi="Arial" w:cs="Arial"/>
          <w:sz w:val="24"/>
          <w:szCs w:val="24"/>
        </w:rPr>
        <w:t xml:space="preserve"> is unable to carry out a number of tasks</w:t>
      </w:r>
      <w:r w:rsidR="00195A4B">
        <w:rPr>
          <w:rFonts w:ascii="Arial" w:eastAsia="Times New Roman" w:hAnsi="Arial" w:cs="Arial"/>
          <w:sz w:val="24"/>
          <w:szCs w:val="24"/>
        </w:rPr>
        <w:t xml:space="preserve"> in the PIP assessment </w:t>
      </w:r>
      <w:r w:rsidR="00195A4B" w:rsidRPr="005104E0">
        <w:rPr>
          <w:rFonts w:ascii="Arial" w:eastAsia="Times New Roman" w:hAnsi="Arial" w:cs="Arial"/>
          <w:sz w:val="24"/>
          <w:szCs w:val="24"/>
        </w:rPr>
        <w:t>to</w:t>
      </w:r>
      <w:r w:rsidRPr="005104E0">
        <w:rPr>
          <w:rFonts w:ascii="Arial" w:eastAsia="Times New Roman" w:hAnsi="Arial" w:cs="Arial"/>
          <w:sz w:val="24"/>
          <w:szCs w:val="24"/>
        </w:rPr>
        <w:t xml:space="preserve"> an acceptable standard if he is completely unaided</w:t>
      </w:r>
      <w:r>
        <w:rPr>
          <w:rFonts w:ascii="Arial" w:eastAsia="Times New Roman" w:hAnsi="Arial" w:cs="Arial"/>
          <w:sz w:val="24"/>
          <w:szCs w:val="24"/>
        </w:rPr>
        <w:t xml:space="preserve">. </w:t>
      </w:r>
      <w:r w:rsidR="00195A4B">
        <w:rPr>
          <w:rFonts w:ascii="Arial" w:eastAsia="Times New Roman" w:hAnsi="Arial" w:cs="Arial"/>
          <w:sz w:val="24"/>
          <w:szCs w:val="24"/>
        </w:rPr>
        <w:t>Any perceived</w:t>
      </w:r>
      <w:r>
        <w:rPr>
          <w:rFonts w:ascii="Arial" w:eastAsia="Times New Roman" w:hAnsi="Arial" w:cs="Arial"/>
          <w:sz w:val="24"/>
          <w:szCs w:val="24"/>
        </w:rPr>
        <w:t xml:space="preserve"> </w:t>
      </w:r>
      <w:r w:rsidR="00195A4B">
        <w:rPr>
          <w:rFonts w:ascii="Arial" w:eastAsia="Times New Roman" w:hAnsi="Arial" w:cs="Arial"/>
          <w:sz w:val="24"/>
          <w:szCs w:val="24"/>
        </w:rPr>
        <w:t>inadequacies</w:t>
      </w:r>
      <w:r w:rsidR="00195A4B" w:rsidRPr="005104E0">
        <w:rPr>
          <w:rFonts w:ascii="Arial" w:eastAsia="Times New Roman" w:hAnsi="Arial" w:cs="Arial"/>
          <w:sz w:val="24"/>
          <w:szCs w:val="24"/>
        </w:rPr>
        <w:t xml:space="preserve"> </w:t>
      </w:r>
      <w:r w:rsidR="00195A4B">
        <w:rPr>
          <w:rFonts w:ascii="Arial" w:eastAsia="Times New Roman" w:hAnsi="Arial" w:cs="Arial"/>
          <w:sz w:val="24"/>
          <w:szCs w:val="24"/>
        </w:rPr>
        <w:t xml:space="preserve">or inconsistencies in  </w:t>
      </w:r>
      <w:r w:rsidR="00D67426" w:rsidRPr="005104E0">
        <w:rPr>
          <w:rFonts w:ascii="Arial" w:eastAsia="Times New Roman" w:hAnsi="Arial" w:cs="Arial"/>
          <w:sz w:val="24"/>
          <w:szCs w:val="24"/>
        </w:rPr>
        <w:t xml:space="preserve"> Mr </w:t>
      </w:r>
      <w:r w:rsidR="00394A17">
        <w:rPr>
          <w:rFonts w:ascii="Arial" w:eastAsia="Times New Roman" w:hAnsi="Arial" w:cs="Arial"/>
          <w:sz w:val="24"/>
          <w:szCs w:val="24"/>
        </w:rPr>
        <w:t>X</w:t>
      </w:r>
      <w:r w:rsidR="00D67426" w:rsidRPr="005104E0">
        <w:rPr>
          <w:rFonts w:ascii="Arial" w:eastAsia="Times New Roman" w:hAnsi="Arial" w:cs="Arial"/>
          <w:sz w:val="24"/>
          <w:szCs w:val="24"/>
        </w:rPr>
        <w:t>’s PIP2</w:t>
      </w:r>
      <w:r>
        <w:rPr>
          <w:rFonts w:ascii="Arial" w:eastAsia="Times New Roman" w:hAnsi="Arial" w:cs="Arial"/>
          <w:sz w:val="24"/>
          <w:szCs w:val="24"/>
        </w:rPr>
        <w:t xml:space="preserve"> </w:t>
      </w:r>
      <w:r w:rsidR="00195A4B">
        <w:rPr>
          <w:rFonts w:ascii="Arial" w:eastAsia="Times New Roman" w:hAnsi="Arial" w:cs="Arial"/>
          <w:sz w:val="24"/>
          <w:szCs w:val="24"/>
        </w:rPr>
        <w:t xml:space="preserve">form </w:t>
      </w:r>
      <w:r w:rsidR="008424DF">
        <w:rPr>
          <w:rFonts w:ascii="Arial" w:eastAsia="Times New Roman" w:hAnsi="Arial" w:cs="Arial"/>
          <w:sz w:val="24"/>
          <w:szCs w:val="24"/>
        </w:rPr>
        <w:t>should consequently</w:t>
      </w:r>
      <w:r w:rsidR="00195A4B">
        <w:rPr>
          <w:rFonts w:ascii="Arial" w:eastAsia="Times New Roman" w:hAnsi="Arial" w:cs="Arial"/>
          <w:sz w:val="24"/>
          <w:szCs w:val="24"/>
        </w:rPr>
        <w:t xml:space="preserve"> not be </w:t>
      </w:r>
      <w:r w:rsidR="00195A4B">
        <w:rPr>
          <w:rFonts w:ascii="Arial" w:eastAsia="Times New Roman" w:hAnsi="Arial" w:cs="Arial"/>
          <w:sz w:val="24"/>
          <w:szCs w:val="24"/>
        </w:rPr>
        <w:lastRenderedPageBreak/>
        <w:t xml:space="preserve">held against him and </w:t>
      </w:r>
      <w:r w:rsidR="00195A4B" w:rsidRPr="005104E0">
        <w:rPr>
          <w:rFonts w:ascii="Arial" w:eastAsia="Times New Roman" w:hAnsi="Arial" w:cs="Arial"/>
          <w:sz w:val="24"/>
          <w:szCs w:val="24"/>
        </w:rPr>
        <w:t>will</w:t>
      </w:r>
      <w:r w:rsidR="00D67426" w:rsidRPr="005104E0">
        <w:rPr>
          <w:rFonts w:ascii="Arial" w:eastAsia="Times New Roman" w:hAnsi="Arial" w:cs="Arial"/>
          <w:sz w:val="24"/>
          <w:szCs w:val="24"/>
        </w:rPr>
        <w:t xml:space="preserve"> not be fatal to his case</w:t>
      </w:r>
      <w:r w:rsidR="00195A4B">
        <w:rPr>
          <w:rFonts w:ascii="Arial" w:eastAsia="Times New Roman" w:hAnsi="Arial" w:cs="Arial"/>
          <w:sz w:val="24"/>
          <w:szCs w:val="24"/>
        </w:rPr>
        <w:t>.</w:t>
      </w:r>
      <w:r w:rsidR="00D67426" w:rsidRPr="005104E0">
        <w:rPr>
          <w:rFonts w:ascii="Arial" w:eastAsia="Times New Roman" w:hAnsi="Arial" w:cs="Arial"/>
          <w:sz w:val="24"/>
          <w:szCs w:val="24"/>
        </w:rPr>
        <w:t xml:space="preserve"> </w:t>
      </w:r>
      <w:r w:rsidR="00195A4B">
        <w:rPr>
          <w:rFonts w:ascii="Arial" w:eastAsia="Times New Roman" w:hAnsi="Arial" w:cs="Arial"/>
          <w:sz w:val="24"/>
          <w:szCs w:val="24"/>
        </w:rPr>
        <w:t>I rely on</w:t>
      </w:r>
      <w:r w:rsidR="00D67426" w:rsidRPr="005104E0">
        <w:rPr>
          <w:rFonts w:ascii="Arial" w:eastAsia="Times New Roman" w:hAnsi="Arial" w:cs="Arial"/>
          <w:sz w:val="24"/>
          <w:szCs w:val="24"/>
        </w:rPr>
        <w:t xml:space="preserve"> CIB/1442/</w:t>
      </w:r>
      <w:r w:rsidR="00195A4B" w:rsidRPr="005104E0">
        <w:rPr>
          <w:rFonts w:ascii="Arial" w:eastAsia="Times New Roman" w:hAnsi="Arial" w:cs="Arial"/>
          <w:sz w:val="24"/>
          <w:szCs w:val="24"/>
        </w:rPr>
        <w:t xml:space="preserve">1996 </w:t>
      </w:r>
      <w:r w:rsidR="00195A4B">
        <w:rPr>
          <w:rFonts w:ascii="Arial" w:eastAsia="Times New Roman" w:hAnsi="Arial" w:cs="Arial"/>
          <w:sz w:val="24"/>
          <w:szCs w:val="24"/>
        </w:rPr>
        <w:t xml:space="preserve">where </w:t>
      </w:r>
      <w:r w:rsidR="00D67426" w:rsidRPr="005104E0">
        <w:rPr>
          <w:rFonts w:ascii="Arial" w:eastAsia="Times New Roman" w:hAnsi="Arial" w:cs="Arial"/>
          <w:sz w:val="24"/>
          <w:szCs w:val="24"/>
        </w:rPr>
        <w:t>Mr Commissioner (as then was) Howell held at [15]-16]</w:t>
      </w:r>
    </w:p>
    <w:p w14:paraId="1E6ABA4D" w14:textId="77777777" w:rsidR="00D67426" w:rsidRPr="00D67426" w:rsidRDefault="00D67426" w:rsidP="00D67426">
      <w:pPr>
        <w:pStyle w:val="ListParagraph"/>
        <w:rPr>
          <w:rFonts w:ascii="Arial" w:eastAsia="Times New Roman" w:hAnsi="Arial" w:cs="Arial"/>
          <w:sz w:val="24"/>
          <w:szCs w:val="24"/>
        </w:rPr>
      </w:pPr>
    </w:p>
    <w:p w14:paraId="16E97477" w14:textId="13E3A769" w:rsidR="00D67426" w:rsidRDefault="00D67426" w:rsidP="00D67426">
      <w:pPr>
        <w:pStyle w:val="ListParagraph"/>
        <w:spacing w:after="0" w:line="240" w:lineRule="auto"/>
        <w:ind w:left="1418" w:right="555"/>
        <w:rPr>
          <w:rFonts w:ascii="Arial" w:eastAsia="Times New Roman" w:hAnsi="Arial" w:cs="Arial"/>
          <w:sz w:val="24"/>
          <w:szCs w:val="24"/>
        </w:rPr>
      </w:pPr>
      <w:r w:rsidRPr="00D67426">
        <w:rPr>
          <w:rFonts w:ascii="Arial" w:eastAsia="Times New Roman" w:hAnsi="Arial" w:cs="Arial"/>
          <w:sz w:val="24"/>
          <w:szCs w:val="24"/>
        </w:rPr>
        <w:t xml:space="preserve">15. I would emphasise that in incapacity benefit cases just as much as in other appeals coming before tribunals under the Social Security Acts, the function of the tribunal is an inquisitorial one, whose object is the ascertainment of the claimant's true entitlement and the determination of all relevant questions whether or not these have been formally put in issue before them. In the present case there was at least some cause for further question about whether the descriptors picked by the adjudication officer truly reflected the extent of the claimant's disability in view of the state of the medical evidence by the time the matter came before the tribunal at the hearing. I do not think that in all cases the tribunal should regard the scope of their enquiries as circumscribed by the boxes claimants may or may not have ticked at an earlier stage on the long and very complicated forms they are now required to fill out. That the form apparently did cause this claimant some confusion is evident from the fact that she ticked two descriptor boxes against "bending and kneeling" on page 11, one of which would have given her 15 points in its own right and the other only 3. In my judgment, the tribunal should have gone further into this question (on which the condition of the claimant's knees, shoulder and lower back was of course of crucial importance) rather than simply recording the lower scoring descriptor as "agreed" as they did on page 57. </w:t>
      </w:r>
    </w:p>
    <w:p w14:paraId="1F9A22B7" w14:textId="77777777" w:rsidR="00D67426" w:rsidRPr="00D67426" w:rsidRDefault="00D67426" w:rsidP="00D67426">
      <w:pPr>
        <w:pStyle w:val="ListParagraph"/>
        <w:spacing w:after="0" w:line="240" w:lineRule="auto"/>
        <w:ind w:left="1418" w:right="555"/>
        <w:rPr>
          <w:rFonts w:ascii="Arial" w:eastAsia="Times New Roman" w:hAnsi="Arial" w:cs="Arial"/>
          <w:sz w:val="24"/>
          <w:szCs w:val="24"/>
        </w:rPr>
      </w:pPr>
    </w:p>
    <w:p w14:paraId="0B56DD0C" w14:textId="1525B194" w:rsidR="00D67426" w:rsidRDefault="00D67426" w:rsidP="00F44C5A">
      <w:pPr>
        <w:pStyle w:val="ListParagraph"/>
        <w:spacing w:after="0" w:line="240" w:lineRule="auto"/>
        <w:ind w:left="1418" w:right="555"/>
        <w:rPr>
          <w:rFonts w:ascii="Arial" w:eastAsia="Times New Roman" w:hAnsi="Arial" w:cs="Arial"/>
          <w:sz w:val="24"/>
          <w:szCs w:val="24"/>
        </w:rPr>
      </w:pPr>
      <w:r w:rsidRPr="00D67426">
        <w:rPr>
          <w:rFonts w:ascii="Arial" w:eastAsia="Times New Roman" w:hAnsi="Arial" w:cs="Arial"/>
          <w:sz w:val="24"/>
          <w:szCs w:val="24"/>
        </w:rPr>
        <w:t>16. By the same token, although on page 13 she had only ticked the box that indicated she had difficulty with her left arm, the comments she added about her difficulties with lifting should in my view have alerted the tribunal to the possibility that she might have equal difficulty with lifting potatoes or other things with either arm, in view of the pull this would impose on her shoulder. And although on page 8 she had ticked only the box that indicated she could not stand without having to move around for more than 30 minutes, her comment about pain in the back and knees coupled with the medical and other evidence that emerged later should in my view have alerted the tribunal to the possibility that this was a claimant who really needed to have a sit down after standing in one place for 30 minutes, rather than just to be allowed to move around, so that the other box with '30 minutes' printed against it less than 2 centimetres away on the same page of the form was the one she really should have ticked and gave a more accurate description of her condition. Similarly if only the 3 point descriptor was being awarded to the claimant for walking as the tribunal did, a proper consideration of her case should in my judgment have included whether her difficulties with her knees and back made a higher scoring descriptor applicable to her under the 'walking up and down stairs' activity, with which her original form on page 10 had indicated she had difficulty although no specific descriptor box had been ticked</w:t>
      </w:r>
    </w:p>
    <w:p w14:paraId="4D11589E" w14:textId="77777777" w:rsidR="00D67426" w:rsidRPr="00D67426" w:rsidRDefault="00D67426" w:rsidP="00D67426">
      <w:pPr>
        <w:pStyle w:val="ListParagraph"/>
        <w:rPr>
          <w:rFonts w:ascii="Arial" w:eastAsia="Times New Roman" w:hAnsi="Arial" w:cs="Arial"/>
          <w:sz w:val="24"/>
          <w:szCs w:val="24"/>
        </w:rPr>
      </w:pPr>
    </w:p>
    <w:p w14:paraId="2C19FC62" w14:textId="70BBF53F" w:rsidR="007C4B57" w:rsidRDefault="00D67426" w:rsidP="007E2727">
      <w:pPr>
        <w:pStyle w:val="ListParagraph"/>
        <w:numPr>
          <w:ilvl w:val="1"/>
          <w:numId w:val="1"/>
        </w:numPr>
        <w:spacing w:after="0" w:line="240" w:lineRule="auto"/>
        <w:ind w:right="555"/>
        <w:rPr>
          <w:rFonts w:ascii="Arial" w:eastAsia="Times New Roman" w:hAnsi="Arial" w:cs="Arial"/>
          <w:sz w:val="24"/>
          <w:szCs w:val="24"/>
        </w:rPr>
      </w:pPr>
      <w:r>
        <w:rPr>
          <w:rFonts w:ascii="Arial" w:eastAsia="Times New Roman" w:hAnsi="Arial" w:cs="Arial"/>
          <w:sz w:val="24"/>
          <w:szCs w:val="24"/>
        </w:rPr>
        <w:t xml:space="preserve"> I therefore </w:t>
      </w:r>
      <w:r w:rsidR="00B012BC">
        <w:rPr>
          <w:rFonts w:ascii="Arial" w:eastAsia="Times New Roman" w:hAnsi="Arial" w:cs="Arial"/>
          <w:sz w:val="24"/>
          <w:szCs w:val="24"/>
        </w:rPr>
        <w:t>suggest</w:t>
      </w:r>
      <w:r w:rsidR="00E8551B">
        <w:rPr>
          <w:rFonts w:ascii="Arial" w:eastAsia="Times New Roman" w:hAnsi="Arial" w:cs="Arial"/>
          <w:sz w:val="24"/>
          <w:szCs w:val="24"/>
        </w:rPr>
        <w:t xml:space="preserve"> that</w:t>
      </w:r>
      <w:r w:rsidR="00F44C5A">
        <w:rPr>
          <w:rFonts w:ascii="Arial" w:eastAsia="Times New Roman" w:hAnsi="Arial" w:cs="Arial"/>
          <w:sz w:val="24"/>
          <w:szCs w:val="24"/>
        </w:rPr>
        <w:t xml:space="preserve"> if appropriate aids or appliances are made available to Mr </w:t>
      </w:r>
      <w:r w:rsidR="00394A17">
        <w:rPr>
          <w:rFonts w:ascii="Arial" w:eastAsia="Times New Roman" w:hAnsi="Arial" w:cs="Arial"/>
          <w:sz w:val="24"/>
          <w:szCs w:val="24"/>
        </w:rPr>
        <w:t>X</w:t>
      </w:r>
      <w:r w:rsidR="00F44C5A">
        <w:rPr>
          <w:rFonts w:ascii="Arial" w:eastAsia="Times New Roman" w:hAnsi="Arial" w:cs="Arial"/>
          <w:sz w:val="24"/>
          <w:szCs w:val="24"/>
        </w:rPr>
        <w:t xml:space="preserve"> it is the case </w:t>
      </w:r>
      <w:r w:rsidR="005104E0">
        <w:rPr>
          <w:rFonts w:ascii="Arial" w:eastAsia="Times New Roman" w:hAnsi="Arial" w:cs="Arial"/>
          <w:sz w:val="24"/>
          <w:szCs w:val="24"/>
        </w:rPr>
        <w:t>that (</w:t>
      </w:r>
      <w:r w:rsidR="00D87F68">
        <w:rPr>
          <w:rFonts w:ascii="Arial" w:eastAsia="Times New Roman" w:hAnsi="Arial" w:cs="Arial"/>
          <w:sz w:val="24"/>
          <w:szCs w:val="24"/>
        </w:rPr>
        <w:t>at least) the</w:t>
      </w:r>
      <w:r w:rsidR="00845BC5">
        <w:rPr>
          <w:rFonts w:ascii="Arial" w:eastAsia="Times New Roman" w:hAnsi="Arial" w:cs="Arial"/>
          <w:sz w:val="24"/>
          <w:szCs w:val="24"/>
        </w:rPr>
        <w:t xml:space="preserve"> following Descriptors are met</w:t>
      </w:r>
    </w:p>
    <w:p w14:paraId="4C2820DD" w14:textId="77777777" w:rsidR="00D87F68" w:rsidRPr="00D87F68" w:rsidRDefault="00D87F68" w:rsidP="00D87F68">
      <w:pPr>
        <w:pStyle w:val="ListParagraph"/>
        <w:rPr>
          <w:rFonts w:ascii="Arial" w:eastAsia="Times New Roman" w:hAnsi="Arial" w:cs="Arial"/>
          <w:sz w:val="24"/>
          <w:szCs w:val="24"/>
        </w:rPr>
      </w:pPr>
    </w:p>
    <w:p w14:paraId="75CE0BDC" w14:textId="41E1A32A" w:rsidR="00D87F68" w:rsidRDefault="00D87F68" w:rsidP="00F44C5A">
      <w:pPr>
        <w:pStyle w:val="ListParagraph"/>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Daily Living</w:t>
      </w:r>
    </w:p>
    <w:p w14:paraId="083D5A27" w14:textId="77777777" w:rsidR="00F44C5A" w:rsidRDefault="00F44C5A" w:rsidP="00F44C5A">
      <w:pPr>
        <w:pStyle w:val="ListParagraph"/>
        <w:spacing w:after="0" w:line="240" w:lineRule="auto"/>
        <w:ind w:left="0" w:right="555"/>
        <w:jc w:val="center"/>
        <w:rPr>
          <w:rFonts w:ascii="Arial" w:eastAsia="Times New Roman" w:hAnsi="Arial" w:cs="Arial"/>
          <w:sz w:val="24"/>
          <w:szCs w:val="24"/>
        </w:rPr>
      </w:pPr>
    </w:p>
    <w:p w14:paraId="158DD76C" w14:textId="4D9096D1" w:rsidR="00D87F68" w:rsidRDefault="00D87F68" w:rsidP="00F44C5A">
      <w:pPr>
        <w:pStyle w:val="ListParagraph"/>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Descriptor 1(b) 2 points</w:t>
      </w:r>
    </w:p>
    <w:p w14:paraId="3EF6AAD0" w14:textId="3F4CE9FB" w:rsidR="00D87F68" w:rsidRDefault="00D87F68" w:rsidP="00F44C5A">
      <w:pPr>
        <w:pStyle w:val="ListParagraph"/>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Descriptor 4(b) 2 points</w:t>
      </w:r>
    </w:p>
    <w:p w14:paraId="04B91BBA" w14:textId="2FA2E6D3" w:rsidR="00D87F68" w:rsidRDefault="00D87F68" w:rsidP="00F44C5A">
      <w:pPr>
        <w:pStyle w:val="ListParagraph"/>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Descriptor 6(b) 2 points</w:t>
      </w:r>
    </w:p>
    <w:p w14:paraId="177DF902" w14:textId="26A72D6C" w:rsidR="00D87F68" w:rsidRDefault="00D87F68" w:rsidP="00F44C5A">
      <w:pPr>
        <w:pStyle w:val="ListParagraph"/>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lastRenderedPageBreak/>
        <w:t>Descriptor 9(c) 4 points</w:t>
      </w:r>
    </w:p>
    <w:p w14:paraId="76865230" w14:textId="77777777" w:rsidR="00F44C5A" w:rsidRDefault="00F44C5A" w:rsidP="00F44C5A">
      <w:pPr>
        <w:pStyle w:val="ListParagraph"/>
        <w:spacing w:after="0" w:line="240" w:lineRule="auto"/>
        <w:ind w:left="0" w:right="555"/>
        <w:jc w:val="center"/>
        <w:rPr>
          <w:rFonts w:ascii="Arial" w:eastAsia="Times New Roman" w:hAnsi="Arial" w:cs="Arial"/>
          <w:sz w:val="24"/>
          <w:szCs w:val="24"/>
        </w:rPr>
      </w:pPr>
    </w:p>
    <w:p w14:paraId="6634E829" w14:textId="16BB5FB0" w:rsidR="00D87F68" w:rsidRDefault="00D87F68" w:rsidP="00F44C5A">
      <w:pPr>
        <w:pStyle w:val="ListParagraph"/>
        <w:spacing w:after="0" w:line="240" w:lineRule="auto"/>
        <w:ind w:left="0" w:right="555"/>
        <w:jc w:val="center"/>
        <w:rPr>
          <w:rFonts w:ascii="Arial" w:eastAsia="Times New Roman" w:hAnsi="Arial" w:cs="Arial"/>
          <w:sz w:val="24"/>
          <w:szCs w:val="24"/>
        </w:rPr>
      </w:pPr>
    </w:p>
    <w:p w14:paraId="551F2D20" w14:textId="1ACA15F8" w:rsidR="00D87F68" w:rsidRDefault="00D87F68" w:rsidP="00F44C5A">
      <w:pPr>
        <w:pStyle w:val="ListParagraph"/>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Mobility</w:t>
      </w:r>
    </w:p>
    <w:p w14:paraId="55B993B3" w14:textId="4B64143E" w:rsidR="00D87F68" w:rsidRDefault="00D87F68" w:rsidP="00F44C5A">
      <w:pPr>
        <w:pStyle w:val="ListParagraph"/>
        <w:spacing w:after="0" w:line="240" w:lineRule="auto"/>
        <w:ind w:left="0" w:right="555"/>
        <w:jc w:val="center"/>
        <w:rPr>
          <w:rFonts w:ascii="Arial" w:eastAsia="Times New Roman" w:hAnsi="Arial" w:cs="Arial"/>
          <w:sz w:val="24"/>
          <w:szCs w:val="24"/>
        </w:rPr>
      </w:pPr>
    </w:p>
    <w:p w14:paraId="59695CAC" w14:textId="531713A3" w:rsidR="00D87F68" w:rsidRDefault="00D87F68" w:rsidP="00F44C5A">
      <w:pPr>
        <w:pStyle w:val="ListParagraph"/>
        <w:tabs>
          <w:tab w:val="left" w:pos="2694"/>
        </w:tabs>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Descriptor 1(d) 10 points</w:t>
      </w:r>
    </w:p>
    <w:p w14:paraId="375923F0" w14:textId="1B1558AE" w:rsidR="00D87F68" w:rsidRDefault="00D87F68" w:rsidP="00F44C5A">
      <w:pPr>
        <w:pStyle w:val="ListParagraph"/>
        <w:tabs>
          <w:tab w:val="left" w:pos="2694"/>
        </w:tabs>
        <w:spacing w:after="0" w:line="240" w:lineRule="auto"/>
        <w:ind w:left="0" w:right="555"/>
        <w:jc w:val="center"/>
        <w:rPr>
          <w:rFonts w:ascii="Arial" w:eastAsia="Times New Roman" w:hAnsi="Arial" w:cs="Arial"/>
          <w:sz w:val="24"/>
          <w:szCs w:val="24"/>
        </w:rPr>
      </w:pPr>
      <w:r>
        <w:rPr>
          <w:rFonts w:ascii="Arial" w:eastAsia="Times New Roman" w:hAnsi="Arial" w:cs="Arial"/>
          <w:sz w:val="24"/>
          <w:szCs w:val="24"/>
        </w:rPr>
        <w:t>Descriptor 2(b) 4 points</w:t>
      </w:r>
    </w:p>
    <w:p w14:paraId="47FFDFC1" w14:textId="77777777" w:rsidR="002D0E7E" w:rsidRDefault="002D0E7E" w:rsidP="002D0E7E">
      <w:pPr>
        <w:pStyle w:val="ListParagraph"/>
        <w:rPr>
          <w:rFonts w:ascii="Arial" w:eastAsia="Times New Roman" w:hAnsi="Arial" w:cs="Arial"/>
          <w:sz w:val="24"/>
          <w:szCs w:val="24"/>
        </w:rPr>
      </w:pPr>
    </w:p>
    <w:p w14:paraId="6356994C" w14:textId="578EC3D4" w:rsidR="00FC3903" w:rsidRPr="00932154" w:rsidRDefault="00FC3903" w:rsidP="00950139">
      <w:pPr>
        <w:numPr>
          <w:ilvl w:val="0"/>
          <w:numId w:val="1"/>
        </w:numPr>
        <w:spacing w:after="0" w:line="240" w:lineRule="auto"/>
        <w:ind w:right="555"/>
        <w:rPr>
          <w:rFonts w:ascii="Arial" w:eastAsia="Times New Roman" w:hAnsi="Arial" w:cs="Arial"/>
          <w:b/>
          <w:bCs/>
          <w:sz w:val="24"/>
          <w:szCs w:val="24"/>
        </w:rPr>
      </w:pPr>
      <w:r w:rsidRPr="00F44C5A">
        <w:rPr>
          <w:rFonts w:ascii="Arial" w:eastAsia="Times New Roman" w:hAnsi="Arial" w:cs="Arial"/>
          <w:sz w:val="24"/>
          <w:szCs w:val="24"/>
        </w:rPr>
        <w:t>I suggest that the Respondent has not considered the evidence properly</w:t>
      </w:r>
      <w:r w:rsidR="00997356" w:rsidRPr="00F44C5A">
        <w:rPr>
          <w:rFonts w:ascii="Arial" w:eastAsia="Times New Roman" w:hAnsi="Arial" w:cs="Arial"/>
          <w:sz w:val="24"/>
          <w:szCs w:val="24"/>
        </w:rPr>
        <w:t xml:space="preserve">.  She </w:t>
      </w:r>
      <w:r w:rsidR="00504B9C" w:rsidRPr="00F44C5A">
        <w:rPr>
          <w:rFonts w:ascii="Arial" w:eastAsia="Times New Roman" w:hAnsi="Arial" w:cs="Arial"/>
          <w:sz w:val="24"/>
          <w:szCs w:val="24"/>
        </w:rPr>
        <w:t xml:space="preserve">has, with little or no justification, </w:t>
      </w:r>
      <w:r w:rsidR="00997356" w:rsidRPr="00F44C5A">
        <w:rPr>
          <w:rFonts w:ascii="Arial" w:eastAsia="Times New Roman" w:hAnsi="Arial" w:cs="Arial"/>
          <w:sz w:val="24"/>
          <w:szCs w:val="24"/>
        </w:rPr>
        <w:t xml:space="preserve">rejected some evidence as supposedly irrelevant </w:t>
      </w:r>
      <w:r w:rsidR="00E5594C" w:rsidRPr="00F44C5A">
        <w:rPr>
          <w:rFonts w:ascii="Arial" w:eastAsia="Times New Roman" w:hAnsi="Arial" w:cs="Arial"/>
          <w:sz w:val="24"/>
          <w:szCs w:val="24"/>
        </w:rPr>
        <w:t>(e.g.</w:t>
      </w:r>
      <w:r w:rsidR="00997356" w:rsidRPr="00F44C5A">
        <w:rPr>
          <w:rFonts w:ascii="Arial" w:eastAsia="Times New Roman" w:hAnsi="Arial" w:cs="Arial"/>
          <w:sz w:val="24"/>
          <w:szCs w:val="24"/>
        </w:rPr>
        <w:t xml:space="preserve"> evidence underlying Mr </w:t>
      </w:r>
      <w:r w:rsidR="00394A17">
        <w:rPr>
          <w:rFonts w:ascii="Arial" w:eastAsia="Times New Roman" w:hAnsi="Arial" w:cs="Arial"/>
          <w:sz w:val="24"/>
          <w:szCs w:val="24"/>
        </w:rPr>
        <w:t>X</w:t>
      </w:r>
      <w:r w:rsidR="00997356" w:rsidRPr="00F44C5A">
        <w:rPr>
          <w:rFonts w:ascii="Arial" w:eastAsia="Times New Roman" w:hAnsi="Arial" w:cs="Arial"/>
          <w:sz w:val="24"/>
          <w:szCs w:val="24"/>
        </w:rPr>
        <w:t xml:space="preserve">’s ESA award).  </w:t>
      </w:r>
      <w:r w:rsidR="00E5594C" w:rsidRPr="00F44C5A">
        <w:rPr>
          <w:rFonts w:ascii="Arial" w:eastAsia="Times New Roman" w:hAnsi="Arial" w:cs="Arial"/>
          <w:sz w:val="24"/>
          <w:szCs w:val="24"/>
        </w:rPr>
        <w:t>She has</w:t>
      </w:r>
      <w:r w:rsidRPr="00F44C5A">
        <w:rPr>
          <w:rFonts w:ascii="Arial" w:eastAsia="Times New Roman" w:hAnsi="Arial" w:cs="Arial"/>
          <w:sz w:val="24"/>
          <w:szCs w:val="24"/>
        </w:rPr>
        <w:t xml:space="preserve"> not applied the law properly as it relates to the Descriptors</w:t>
      </w:r>
      <w:r w:rsidR="00932154" w:rsidRPr="00F44C5A">
        <w:rPr>
          <w:rFonts w:ascii="Arial" w:eastAsia="Times New Roman" w:hAnsi="Arial" w:cs="Arial"/>
          <w:sz w:val="24"/>
          <w:szCs w:val="24"/>
        </w:rPr>
        <w:t>,</w:t>
      </w:r>
      <w:r w:rsidR="00504B9C" w:rsidRPr="00F44C5A">
        <w:rPr>
          <w:rFonts w:ascii="Arial" w:eastAsia="Times New Roman" w:hAnsi="Arial" w:cs="Arial"/>
          <w:sz w:val="24"/>
          <w:szCs w:val="24"/>
        </w:rPr>
        <w:t xml:space="preserve"> (and has</w:t>
      </w:r>
      <w:r w:rsidR="00932154" w:rsidRPr="00F44C5A">
        <w:rPr>
          <w:rFonts w:ascii="Arial" w:eastAsia="Times New Roman" w:hAnsi="Arial" w:cs="Arial"/>
          <w:sz w:val="24"/>
          <w:szCs w:val="24"/>
        </w:rPr>
        <w:t xml:space="preserve"> not follow</w:t>
      </w:r>
      <w:r w:rsidR="00504B9C" w:rsidRPr="00F44C5A">
        <w:rPr>
          <w:rFonts w:ascii="Arial" w:eastAsia="Times New Roman" w:hAnsi="Arial" w:cs="Arial"/>
          <w:sz w:val="24"/>
          <w:szCs w:val="24"/>
        </w:rPr>
        <w:t>ed the authorities</w:t>
      </w:r>
      <w:r w:rsidR="008424DF">
        <w:rPr>
          <w:rFonts w:ascii="Arial" w:eastAsia="Times New Roman" w:hAnsi="Arial" w:cs="Arial"/>
          <w:sz w:val="24"/>
          <w:szCs w:val="24"/>
        </w:rPr>
        <w:t>)</w:t>
      </w:r>
      <w:r w:rsidR="00B93A0C">
        <w:rPr>
          <w:rFonts w:ascii="Arial" w:eastAsia="Times New Roman" w:hAnsi="Arial" w:cs="Arial"/>
          <w:sz w:val="24"/>
          <w:szCs w:val="24"/>
        </w:rPr>
        <w:t>.</w:t>
      </w:r>
      <w:r w:rsidR="00504B9C" w:rsidRPr="00F44C5A">
        <w:rPr>
          <w:rFonts w:ascii="Arial" w:eastAsia="Times New Roman" w:hAnsi="Arial" w:cs="Arial"/>
          <w:sz w:val="24"/>
          <w:szCs w:val="24"/>
        </w:rPr>
        <w:t xml:space="preserve"> </w:t>
      </w:r>
      <w:r w:rsidR="00B93A0C">
        <w:rPr>
          <w:rFonts w:ascii="Arial" w:eastAsia="Times New Roman" w:hAnsi="Arial" w:cs="Arial"/>
          <w:sz w:val="24"/>
          <w:szCs w:val="24"/>
        </w:rPr>
        <w:t xml:space="preserve">She </w:t>
      </w:r>
      <w:r w:rsidRPr="00F44C5A">
        <w:rPr>
          <w:rFonts w:ascii="Arial" w:eastAsia="Times New Roman" w:hAnsi="Arial" w:cs="Arial"/>
          <w:sz w:val="24"/>
          <w:szCs w:val="24"/>
        </w:rPr>
        <w:t>has effectively rubber stamped an inadequate Health Care Professional’s (HCP’s) report</w:t>
      </w:r>
      <w:r>
        <w:rPr>
          <w:rFonts w:ascii="Arial" w:eastAsia="Times New Roman" w:hAnsi="Arial" w:cs="Arial"/>
          <w:sz w:val="24"/>
          <w:szCs w:val="24"/>
        </w:rPr>
        <w:t>.</w:t>
      </w:r>
    </w:p>
    <w:p w14:paraId="4D9F8F8A" w14:textId="7D527C64" w:rsidR="00932154" w:rsidRDefault="00932154" w:rsidP="00932154">
      <w:pPr>
        <w:spacing w:after="0" w:line="240" w:lineRule="auto"/>
        <w:ind w:left="720" w:right="555"/>
        <w:rPr>
          <w:rFonts w:ascii="Arial" w:eastAsia="Times New Roman" w:hAnsi="Arial" w:cs="Arial"/>
          <w:b/>
          <w:bCs/>
          <w:sz w:val="24"/>
          <w:szCs w:val="24"/>
        </w:rPr>
      </w:pPr>
    </w:p>
    <w:p w14:paraId="5256BD86" w14:textId="717CF85F" w:rsidR="00997356" w:rsidRDefault="00997356" w:rsidP="00950139">
      <w:pPr>
        <w:numPr>
          <w:ilvl w:val="0"/>
          <w:numId w:val="1"/>
        </w:numPr>
        <w:spacing w:after="0" w:line="240" w:lineRule="auto"/>
        <w:ind w:right="555"/>
        <w:rPr>
          <w:rFonts w:ascii="Arial" w:eastAsia="Times New Roman" w:hAnsi="Arial" w:cs="Arial"/>
          <w:sz w:val="24"/>
          <w:szCs w:val="24"/>
        </w:rPr>
      </w:pPr>
      <w:r w:rsidRPr="00997356">
        <w:rPr>
          <w:rFonts w:ascii="Arial" w:eastAsia="Times New Roman" w:hAnsi="Arial" w:cs="Arial"/>
          <w:sz w:val="24"/>
          <w:szCs w:val="24"/>
        </w:rPr>
        <w:t xml:space="preserve">The </w:t>
      </w:r>
      <w:r>
        <w:rPr>
          <w:rFonts w:ascii="Arial" w:eastAsia="Times New Roman" w:hAnsi="Arial" w:cs="Arial"/>
          <w:sz w:val="24"/>
          <w:szCs w:val="24"/>
        </w:rPr>
        <w:t xml:space="preserve">Respondent has not addressed the issues outlined by Ms </w:t>
      </w:r>
      <w:r w:rsidR="00394A17">
        <w:rPr>
          <w:rFonts w:ascii="Arial" w:eastAsia="Times New Roman" w:hAnsi="Arial" w:cs="Arial"/>
          <w:sz w:val="24"/>
          <w:szCs w:val="24"/>
        </w:rPr>
        <w:t xml:space="preserve">Y </w:t>
      </w:r>
      <w:r>
        <w:rPr>
          <w:rFonts w:ascii="Arial" w:eastAsia="Times New Roman" w:hAnsi="Arial" w:cs="Arial"/>
          <w:sz w:val="24"/>
          <w:szCs w:val="24"/>
        </w:rPr>
        <w:t xml:space="preserve"> in the application for MR as discussed above, nor has she addressed the issues outlined in Mr </w:t>
      </w:r>
      <w:r w:rsidR="00394A17">
        <w:rPr>
          <w:rFonts w:ascii="Arial" w:eastAsia="Times New Roman" w:hAnsi="Arial" w:cs="Arial"/>
          <w:sz w:val="24"/>
          <w:szCs w:val="24"/>
        </w:rPr>
        <w:t>X</w:t>
      </w:r>
      <w:r>
        <w:rPr>
          <w:rFonts w:ascii="Arial" w:eastAsia="Times New Roman" w:hAnsi="Arial" w:cs="Arial"/>
          <w:sz w:val="24"/>
          <w:szCs w:val="24"/>
        </w:rPr>
        <w:t>’s notice of appeal.  Her Response is simply peppered with a number of formulaic stock phrases that are contained in a spreadsheet provided for her submission writers</w:t>
      </w:r>
      <w:r w:rsidR="00E5594C">
        <w:rPr>
          <w:rFonts w:ascii="Arial" w:eastAsia="Times New Roman" w:hAnsi="Arial" w:cs="Arial"/>
          <w:sz w:val="24"/>
          <w:szCs w:val="24"/>
        </w:rPr>
        <w:t xml:space="preserve">.  The existence of the </w:t>
      </w:r>
      <w:r w:rsidR="00FB7E3D">
        <w:rPr>
          <w:rFonts w:ascii="Arial" w:eastAsia="Times New Roman" w:hAnsi="Arial" w:cs="Arial"/>
          <w:sz w:val="24"/>
          <w:szCs w:val="24"/>
        </w:rPr>
        <w:t>spreadsheet was</w:t>
      </w:r>
      <w:r>
        <w:rPr>
          <w:rFonts w:ascii="Arial" w:eastAsia="Times New Roman" w:hAnsi="Arial" w:cs="Arial"/>
          <w:sz w:val="24"/>
          <w:szCs w:val="24"/>
        </w:rPr>
        <w:t xml:space="preserve"> revealed in a reply to a Freedom of Information request and published on the internet at </w:t>
      </w:r>
    </w:p>
    <w:p w14:paraId="74DD3EA3" w14:textId="27C4630C" w:rsidR="00997356" w:rsidRDefault="009C16C5" w:rsidP="00997356">
      <w:pPr>
        <w:pStyle w:val="ListParagraph"/>
        <w:rPr>
          <w:rFonts w:ascii="Arial" w:eastAsia="Times New Roman" w:hAnsi="Arial" w:cs="Arial"/>
          <w:sz w:val="24"/>
          <w:szCs w:val="24"/>
        </w:rPr>
      </w:pPr>
      <w:hyperlink r:id="rId8" w:history="1">
        <w:r w:rsidR="00997356" w:rsidRPr="004A1864">
          <w:rPr>
            <w:rStyle w:val="Hyperlink"/>
            <w:rFonts w:ascii="Arial" w:eastAsia="Times New Roman" w:hAnsi="Arial" w:cs="Arial"/>
            <w:sz w:val="24"/>
            <w:szCs w:val="24"/>
          </w:rPr>
          <w:t>https://www.whatdotheyknow.com/request/origins_of_and_list_of_stock_phr</w:t>
        </w:r>
      </w:hyperlink>
      <w:r w:rsidR="00E5594C">
        <w:rPr>
          <w:rStyle w:val="Hyperlink"/>
          <w:rFonts w:ascii="Arial" w:eastAsia="Times New Roman" w:hAnsi="Arial" w:cs="Arial"/>
          <w:sz w:val="24"/>
          <w:szCs w:val="24"/>
        </w:rPr>
        <w:t xml:space="preserve"> </w:t>
      </w:r>
    </w:p>
    <w:p w14:paraId="2DC2A544" w14:textId="77777777" w:rsidR="00997356" w:rsidRPr="00997356" w:rsidRDefault="00997356" w:rsidP="00997356">
      <w:pPr>
        <w:spacing w:after="0" w:line="240" w:lineRule="auto"/>
        <w:ind w:left="720" w:right="555"/>
        <w:rPr>
          <w:rFonts w:ascii="Arial" w:eastAsia="Times New Roman" w:hAnsi="Arial" w:cs="Arial"/>
          <w:sz w:val="24"/>
          <w:szCs w:val="24"/>
        </w:rPr>
      </w:pPr>
    </w:p>
    <w:p w14:paraId="2F011DE7" w14:textId="2707810B" w:rsidR="00282586" w:rsidRPr="00AE05EF" w:rsidRDefault="008726F0" w:rsidP="00997356">
      <w:pPr>
        <w:numPr>
          <w:ilvl w:val="0"/>
          <w:numId w:val="10"/>
        </w:numPr>
        <w:spacing w:after="0" w:line="240" w:lineRule="auto"/>
        <w:ind w:right="555"/>
        <w:rPr>
          <w:rFonts w:ascii="Arial" w:eastAsia="Times New Roman" w:hAnsi="Arial" w:cs="Arial"/>
          <w:b/>
          <w:bCs/>
          <w:i/>
          <w:sz w:val="24"/>
          <w:szCs w:val="24"/>
        </w:rPr>
      </w:pPr>
      <w:r>
        <w:rPr>
          <w:rFonts w:ascii="Arial" w:eastAsia="Times New Roman" w:hAnsi="Arial" w:cs="Arial"/>
          <w:sz w:val="24"/>
          <w:szCs w:val="20"/>
        </w:rPr>
        <w:t xml:space="preserve">The Respondent seeks to justify her refusal to consider </w:t>
      </w:r>
      <w:r w:rsidR="00A259E2">
        <w:rPr>
          <w:rFonts w:ascii="Arial" w:eastAsia="Times New Roman" w:hAnsi="Arial" w:cs="Arial"/>
          <w:sz w:val="24"/>
          <w:szCs w:val="20"/>
        </w:rPr>
        <w:t xml:space="preserve">the </w:t>
      </w:r>
      <w:r w:rsidR="00FB7E3D">
        <w:rPr>
          <w:rFonts w:ascii="Arial" w:eastAsia="Times New Roman" w:hAnsi="Arial" w:cs="Arial"/>
          <w:sz w:val="24"/>
          <w:szCs w:val="20"/>
        </w:rPr>
        <w:t xml:space="preserve">ESA </w:t>
      </w:r>
      <w:r w:rsidR="00A259E2">
        <w:rPr>
          <w:rFonts w:ascii="Arial" w:eastAsia="Times New Roman" w:hAnsi="Arial" w:cs="Arial"/>
          <w:sz w:val="24"/>
          <w:szCs w:val="20"/>
        </w:rPr>
        <w:t>evidence</w:t>
      </w:r>
      <w:r>
        <w:rPr>
          <w:rFonts w:ascii="Arial" w:eastAsia="Times New Roman" w:hAnsi="Arial" w:cs="Arial"/>
          <w:sz w:val="24"/>
          <w:szCs w:val="20"/>
        </w:rPr>
        <w:t xml:space="preserve"> </w:t>
      </w:r>
      <w:r w:rsidRPr="00AE05EF">
        <w:rPr>
          <w:rFonts w:ascii="Arial" w:eastAsia="Times New Roman" w:hAnsi="Arial" w:cs="Arial"/>
          <w:b/>
          <w:bCs/>
          <w:sz w:val="24"/>
          <w:szCs w:val="20"/>
        </w:rPr>
        <w:t xml:space="preserve">(S4(6) page </w:t>
      </w:r>
      <w:r w:rsidR="002A2A05">
        <w:rPr>
          <w:rFonts w:ascii="Arial" w:eastAsia="Times New Roman" w:hAnsi="Arial" w:cs="Arial"/>
          <w:b/>
          <w:bCs/>
          <w:sz w:val="24"/>
          <w:szCs w:val="20"/>
        </w:rPr>
        <w:t>F</w:t>
      </w:r>
      <w:r w:rsidRPr="00AE05EF">
        <w:rPr>
          <w:rFonts w:ascii="Arial" w:eastAsia="Times New Roman" w:hAnsi="Arial" w:cs="Arial"/>
          <w:b/>
          <w:bCs/>
          <w:sz w:val="24"/>
          <w:szCs w:val="20"/>
        </w:rPr>
        <w:t xml:space="preserve"> of the Response)</w:t>
      </w:r>
    </w:p>
    <w:p w14:paraId="09DF8F29" w14:textId="6083C90C" w:rsidR="00AE05EF" w:rsidRDefault="00AE05EF" w:rsidP="00AE05EF">
      <w:pPr>
        <w:spacing w:after="0" w:line="240" w:lineRule="auto"/>
        <w:ind w:left="720" w:right="555"/>
        <w:rPr>
          <w:rFonts w:ascii="Arial" w:eastAsia="Times New Roman" w:hAnsi="Arial" w:cs="Arial"/>
          <w:b/>
          <w:bCs/>
          <w:sz w:val="24"/>
          <w:szCs w:val="20"/>
        </w:rPr>
      </w:pPr>
    </w:p>
    <w:p w14:paraId="28A67BD2" w14:textId="2A0DB797" w:rsidR="00AE05EF" w:rsidRPr="00AE05EF" w:rsidRDefault="00AE05EF" w:rsidP="00AE05EF">
      <w:pPr>
        <w:spacing w:after="0" w:line="240" w:lineRule="auto"/>
        <w:ind w:left="1985" w:right="555"/>
        <w:rPr>
          <w:rFonts w:ascii="Arial" w:eastAsia="Times New Roman" w:hAnsi="Arial" w:cs="Arial"/>
          <w:sz w:val="24"/>
          <w:szCs w:val="20"/>
        </w:rPr>
      </w:pPr>
      <w:r w:rsidRPr="00AE05EF">
        <w:rPr>
          <w:rFonts w:ascii="Arial" w:eastAsia="Times New Roman" w:hAnsi="Arial" w:cs="Arial"/>
          <w:sz w:val="24"/>
          <w:szCs w:val="20"/>
        </w:rPr>
        <w:t xml:space="preserve">Although </w:t>
      </w:r>
      <w:r>
        <w:rPr>
          <w:rFonts w:ascii="Arial" w:eastAsia="Times New Roman" w:hAnsi="Arial" w:cs="Arial"/>
          <w:sz w:val="24"/>
          <w:szCs w:val="20"/>
        </w:rPr>
        <w:t xml:space="preserve">Mr </w:t>
      </w:r>
      <w:r w:rsidR="00394A17">
        <w:rPr>
          <w:rFonts w:ascii="Arial" w:eastAsia="Times New Roman" w:hAnsi="Arial" w:cs="Arial"/>
          <w:sz w:val="24"/>
          <w:szCs w:val="20"/>
        </w:rPr>
        <w:t>X</w:t>
      </w:r>
      <w:r w:rsidRPr="00AE05EF">
        <w:rPr>
          <w:rFonts w:ascii="Arial" w:eastAsia="Times New Roman" w:hAnsi="Arial" w:cs="Arial"/>
          <w:sz w:val="24"/>
          <w:szCs w:val="20"/>
        </w:rPr>
        <w:t xml:space="preserve"> is entitled to ESA, this doesn’t bring automatic entitlement to PIP which is assessed separately and under different criteria.  ESA assesses fitness to work.  This factor isn’t relevant to the PIP qualifying criteria…..</w:t>
      </w:r>
    </w:p>
    <w:p w14:paraId="15E8E5DB" w14:textId="77777777" w:rsidR="00AE05EF" w:rsidRPr="00AE05EF" w:rsidRDefault="00AE05EF" w:rsidP="00AE05EF">
      <w:pPr>
        <w:spacing w:after="0" w:line="240" w:lineRule="auto"/>
        <w:ind w:right="555"/>
        <w:rPr>
          <w:rFonts w:ascii="Arial" w:eastAsia="Times New Roman" w:hAnsi="Arial" w:cs="Arial"/>
          <w:sz w:val="24"/>
          <w:szCs w:val="20"/>
        </w:rPr>
      </w:pPr>
    </w:p>
    <w:p w14:paraId="22C6CFBD" w14:textId="0F24F552" w:rsidR="00AE05EF" w:rsidRPr="00AE05EF" w:rsidRDefault="002A2A05" w:rsidP="00AE05EF">
      <w:pPr>
        <w:spacing w:after="0" w:line="240" w:lineRule="auto"/>
        <w:ind w:left="1134" w:right="413" w:hanging="141"/>
        <w:rPr>
          <w:rFonts w:ascii="Arial" w:eastAsia="Times New Roman" w:hAnsi="Arial" w:cs="Arial"/>
          <w:sz w:val="24"/>
          <w:szCs w:val="20"/>
        </w:rPr>
      </w:pPr>
      <w:r>
        <w:rPr>
          <w:rFonts w:ascii="Arial" w:eastAsia="Times New Roman" w:hAnsi="Arial" w:cs="Arial"/>
          <w:sz w:val="24"/>
          <w:szCs w:val="20"/>
        </w:rPr>
        <w:t>5</w:t>
      </w:r>
      <w:r w:rsidR="00AE05EF" w:rsidRPr="00AE05EF">
        <w:rPr>
          <w:rFonts w:ascii="Arial" w:eastAsia="Times New Roman" w:hAnsi="Arial" w:cs="Arial"/>
          <w:sz w:val="24"/>
          <w:szCs w:val="20"/>
        </w:rPr>
        <w:t>.1</w:t>
      </w:r>
      <w:r w:rsidR="00AE05EF" w:rsidRPr="00AE05EF">
        <w:rPr>
          <w:rFonts w:ascii="Arial" w:eastAsia="Times New Roman" w:hAnsi="Arial" w:cs="Arial"/>
          <w:sz w:val="24"/>
          <w:szCs w:val="20"/>
        </w:rPr>
        <w:tab/>
        <w:t xml:space="preserve">I suggest that the </w:t>
      </w:r>
      <w:r>
        <w:rPr>
          <w:rFonts w:ascii="Arial" w:eastAsia="Times New Roman" w:hAnsi="Arial" w:cs="Arial"/>
          <w:sz w:val="24"/>
          <w:szCs w:val="20"/>
        </w:rPr>
        <w:t xml:space="preserve">Respondent </w:t>
      </w:r>
      <w:r w:rsidRPr="00AE05EF">
        <w:rPr>
          <w:rFonts w:ascii="Arial" w:eastAsia="Times New Roman" w:hAnsi="Arial" w:cs="Arial"/>
          <w:sz w:val="24"/>
          <w:szCs w:val="20"/>
        </w:rPr>
        <w:t>is</w:t>
      </w:r>
      <w:r w:rsidR="00AE05EF" w:rsidRPr="00AE05EF">
        <w:rPr>
          <w:rFonts w:ascii="Arial" w:eastAsia="Times New Roman" w:hAnsi="Arial" w:cs="Arial"/>
          <w:sz w:val="24"/>
          <w:szCs w:val="20"/>
        </w:rPr>
        <w:t xml:space="preserve"> at best over stating the case, or at worst is simply wrong because there is considerable overlap between the ESA and PIP descriptors.  The </w:t>
      </w:r>
      <w:r w:rsidR="007F19A4">
        <w:rPr>
          <w:rFonts w:ascii="Arial" w:eastAsia="Times New Roman" w:hAnsi="Arial" w:cs="Arial"/>
          <w:sz w:val="24"/>
          <w:szCs w:val="20"/>
        </w:rPr>
        <w:t xml:space="preserve">Respondent’s </w:t>
      </w:r>
      <w:r w:rsidR="00AE05EF" w:rsidRPr="00AE05EF">
        <w:rPr>
          <w:rFonts w:ascii="Arial" w:eastAsia="Times New Roman" w:hAnsi="Arial" w:cs="Arial"/>
          <w:sz w:val="24"/>
          <w:szCs w:val="20"/>
        </w:rPr>
        <w:t>’s position is in any case not supported by the Upper Tribunal.</w:t>
      </w:r>
    </w:p>
    <w:p w14:paraId="401C3C95"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164CFF71" w14:textId="40276713" w:rsidR="00AE05EF" w:rsidRPr="00AE05EF" w:rsidRDefault="002A2A05" w:rsidP="00AE05EF">
      <w:pPr>
        <w:spacing w:after="0" w:line="240" w:lineRule="auto"/>
        <w:ind w:left="1134" w:right="413" w:hanging="283"/>
        <w:rPr>
          <w:rFonts w:ascii="Arial" w:eastAsia="Times New Roman" w:hAnsi="Arial" w:cs="Arial"/>
          <w:sz w:val="24"/>
          <w:szCs w:val="20"/>
        </w:rPr>
      </w:pPr>
      <w:r>
        <w:rPr>
          <w:rFonts w:ascii="Arial" w:eastAsia="Times New Roman" w:hAnsi="Arial" w:cs="Arial"/>
          <w:sz w:val="24"/>
          <w:szCs w:val="20"/>
        </w:rPr>
        <w:t>5</w:t>
      </w:r>
      <w:r w:rsidR="00AE05EF" w:rsidRPr="00AE05EF">
        <w:rPr>
          <w:rFonts w:ascii="Arial" w:eastAsia="Times New Roman" w:hAnsi="Arial" w:cs="Arial"/>
          <w:sz w:val="24"/>
          <w:szCs w:val="20"/>
        </w:rPr>
        <w:t xml:space="preserve">.2 In JB v SSWP (ESA) [2017] UKUT 0020 (AAC) CE/2314/2016, Judge Hemingway allowed the ESA appeal and Directed that evidence upon which a PIP award was based should be put before the new Tribunal as it was relevant to the ESA appeal.  Judge Hemingway held at </w:t>
      </w:r>
      <w:r>
        <w:rPr>
          <w:rFonts w:ascii="Arial" w:eastAsia="Times New Roman" w:hAnsi="Arial" w:cs="Arial"/>
          <w:sz w:val="24"/>
          <w:szCs w:val="20"/>
        </w:rPr>
        <w:t>[</w:t>
      </w:r>
      <w:r w:rsidR="00AE05EF" w:rsidRPr="00AE05EF">
        <w:rPr>
          <w:rFonts w:ascii="Arial" w:eastAsia="Times New Roman" w:hAnsi="Arial" w:cs="Arial"/>
          <w:sz w:val="24"/>
          <w:szCs w:val="20"/>
        </w:rPr>
        <w:t>17]:</w:t>
      </w:r>
    </w:p>
    <w:p w14:paraId="22F04754"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76ED1A9C" w14:textId="77777777" w:rsidR="00AE05EF" w:rsidRPr="00AE05EF" w:rsidRDefault="00AE05EF" w:rsidP="00AE05EF">
      <w:pPr>
        <w:spacing w:after="0" w:line="240" w:lineRule="auto"/>
        <w:ind w:left="1985" w:right="1264" w:hanging="142"/>
        <w:rPr>
          <w:rFonts w:ascii="Arial" w:eastAsia="Times New Roman" w:hAnsi="Arial" w:cs="Arial"/>
          <w:sz w:val="24"/>
          <w:szCs w:val="20"/>
        </w:rPr>
      </w:pPr>
      <w:r w:rsidRPr="00AE05EF">
        <w:rPr>
          <w:rFonts w:ascii="Arial" w:eastAsia="Times New Roman" w:hAnsi="Arial" w:cs="Arial"/>
          <w:sz w:val="24"/>
          <w:szCs w:val="20"/>
        </w:rPr>
        <w:t>17. That said, it is the case that evidence underlying a PIP decision might be relevant to an ESA decision. Mr Hampton recognises that in saying about the PIP award “the evidence on which that award was based may be of importance and is therefore of potential relevance to an ESA claim”. In my judgment, he is right to say that. That then does raise the question of whether the tribunal ought to have at least considered adjourning for the evidence underlying the PIP award to be provided</w:t>
      </w:r>
    </w:p>
    <w:p w14:paraId="0122BC40"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2C9C942E" w14:textId="4A3D6443" w:rsidR="00AE05EF" w:rsidRDefault="00AE05EF" w:rsidP="00AE05EF">
      <w:pPr>
        <w:spacing w:after="0" w:line="240" w:lineRule="auto"/>
        <w:ind w:left="1134" w:right="413"/>
        <w:rPr>
          <w:rFonts w:ascii="Arial" w:eastAsia="Times New Roman" w:hAnsi="Arial" w:cs="Arial"/>
          <w:sz w:val="24"/>
          <w:szCs w:val="20"/>
        </w:rPr>
      </w:pPr>
      <w:r w:rsidRPr="00AE05EF">
        <w:rPr>
          <w:rFonts w:ascii="Arial" w:eastAsia="Times New Roman" w:hAnsi="Arial" w:cs="Arial"/>
          <w:sz w:val="24"/>
          <w:szCs w:val="20"/>
        </w:rPr>
        <w:lastRenderedPageBreak/>
        <w:t xml:space="preserve"> It is strongly arguable that the same principles will apply in the present case only in reverse, i.e. that the evidence underlying the ESA decision is relevant to the assessment of a claim for Personal Independence Payment</w:t>
      </w:r>
    </w:p>
    <w:p w14:paraId="303C382E" w14:textId="11440E63" w:rsidR="002A2A05" w:rsidRDefault="002A2A05" w:rsidP="00AE05EF">
      <w:pPr>
        <w:spacing w:after="0" w:line="240" w:lineRule="auto"/>
        <w:ind w:left="1134" w:right="413"/>
        <w:rPr>
          <w:rFonts w:ascii="Arial" w:eastAsia="Times New Roman" w:hAnsi="Arial" w:cs="Arial"/>
          <w:sz w:val="24"/>
          <w:szCs w:val="20"/>
        </w:rPr>
      </w:pPr>
    </w:p>
    <w:p w14:paraId="4C8487B5" w14:textId="654C2A45" w:rsidR="00B93A0C" w:rsidRDefault="002A2A05" w:rsidP="002A2A05">
      <w:pPr>
        <w:spacing w:after="0" w:line="240" w:lineRule="auto"/>
        <w:ind w:left="851" w:right="413"/>
        <w:rPr>
          <w:rFonts w:ascii="Arial" w:eastAsia="Times New Roman" w:hAnsi="Arial" w:cs="Arial"/>
          <w:sz w:val="24"/>
          <w:szCs w:val="20"/>
        </w:rPr>
      </w:pPr>
      <w:r>
        <w:rPr>
          <w:rFonts w:ascii="Arial" w:eastAsia="Times New Roman" w:hAnsi="Arial" w:cs="Arial"/>
          <w:sz w:val="24"/>
          <w:szCs w:val="20"/>
        </w:rPr>
        <w:t xml:space="preserve">5.3 I have attached a copy of a Tribunal Decision Notice which shows that the Tribunal hearting Mr </w:t>
      </w:r>
      <w:r w:rsidR="00394A17">
        <w:rPr>
          <w:rFonts w:ascii="Arial" w:eastAsia="Times New Roman" w:hAnsi="Arial" w:cs="Arial"/>
          <w:sz w:val="24"/>
          <w:szCs w:val="20"/>
        </w:rPr>
        <w:t>X</w:t>
      </w:r>
      <w:r>
        <w:rPr>
          <w:rFonts w:ascii="Arial" w:eastAsia="Times New Roman" w:hAnsi="Arial" w:cs="Arial"/>
          <w:sz w:val="24"/>
          <w:szCs w:val="20"/>
        </w:rPr>
        <w:t xml:space="preserve">’s ESA case on </w:t>
      </w:r>
      <w:r w:rsidR="007F19A4">
        <w:rPr>
          <w:rFonts w:ascii="Arial" w:eastAsia="Times New Roman" w:hAnsi="Arial" w:cs="Arial"/>
          <w:sz w:val="24"/>
          <w:szCs w:val="20"/>
        </w:rPr>
        <w:t>24 November 2017 and I ask this Tribunal to note that 15 points were awarded on Descriptor 17(b) and 9 points on Descriptor 1 (c).</w:t>
      </w:r>
      <w:r w:rsidR="00B93A0C">
        <w:rPr>
          <w:rFonts w:ascii="Arial" w:eastAsia="Times New Roman" w:hAnsi="Arial" w:cs="Arial"/>
          <w:sz w:val="24"/>
          <w:szCs w:val="20"/>
        </w:rPr>
        <w:t xml:space="preserve"> </w:t>
      </w:r>
    </w:p>
    <w:p w14:paraId="0BB71423" w14:textId="77777777" w:rsidR="00B93A0C" w:rsidRDefault="00B93A0C" w:rsidP="002A2A05">
      <w:pPr>
        <w:spacing w:after="0" w:line="240" w:lineRule="auto"/>
        <w:ind w:left="851" w:right="413"/>
        <w:rPr>
          <w:rFonts w:ascii="Arial" w:eastAsia="Times New Roman" w:hAnsi="Arial" w:cs="Arial"/>
          <w:sz w:val="24"/>
          <w:szCs w:val="20"/>
        </w:rPr>
      </w:pPr>
    </w:p>
    <w:p w14:paraId="18084D94" w14:textId="0150D481" w:rsidR="00B93A0C" w:rsidRDefault="00B93A0C" w:rsidP="002A2A05">
      <w:pPr>
        <w:spacing w:after="0" w:line="240" w:lineRule="auto"/>
        <w:ind w:left="851" w:right="413"/>
        <w:rPr>
          <w:rFonts w:ascii="Arial" w:eastAsia="Times New Roman" w:hAnsi="Arial" w:cs="Arial"/>
          <w:sz w:val="24"/>
          <w:szCs w:val="20"/>
        </w:rPr>
      </w:pPr>
      <w:r>
        <w:rPr>
          <w:rFonts w:ascii="Arial" w:eastAsia="Times New Roman" w:hAnsi="Arial" w:cs="Arial"/>
          <w:sz w:val="24"/>
          <w:szCs w:val="20"/>
        </w:rPr>
        <w:t xml:space="preserve">5.4 I will concede that reference in Mr </w:t>
      </w:r>
      <w:r w:rsidR="00394A17">
        <w:rPr>
          <w:rFonts w:ascii="Arial" w:eastAsia="Times New Roman" w:hAnsi="Arial" w:cs="Arial"/>
          <w:sz w:val="24"/>
          <w:szCs w:val="20"/>
        </w:rPr>
        <w:t>X</w:t>
      </w:r>
      <w:r>
        <w:rPr>
          <w:rFonts w:ascii="Arial" w:eastAsia="Times New Roman" w:hAnsi="Arial" w:cs="Arial"/>
          <w:sz w:val="24"/>
          <w:szCs w:val="20"/>
        </w:rPr>
        <w:t>’s notice of appeal to being in the Support Group was an error and it is the case that he in in the Work-Related Activity Group.</w:t>
      </w:r>
    </w:p>
    <w:p w14:paraId="193FCEC6" w14:textId="77777777" w:rsidR="00B93A0C" w:rsidRDefault="00B93A0C" w:rsidP="002A2A05">
      <w:pPr>
        <w:spacing w:after="0" w:line="240" w:lineRule="auto"/>
        <w:ind w:left="851" w:right="413"/>
        <w:rPr>
          <w:rFonts w:ascii="Arial" w:eastAsia="Times New Roman" w:hAnsi="Arial" w:cs="Arial"/>
          <w:sz w:val="24"/>
          <w:szCs w:val="20"/>
        </w:rPr>
      </w:pPr>
    </w:p>
    <w:p w14:paraId="7AE89EFD" w14:textId="174BFE44" w:rsidR="002A2A05" w:rsidRDefault="00B93A0C" w:rsidP="002A2A05">
      <w:pPr>
        <w:spacing w:after="0" w:line="240" w:lineRule="auto"/>
        <w:ind w:left="851" w:right="413"/>
        <w:rPr>
          <w:rFonts w:ascii="Arial" w:eastAsia="Times New Roman" w:hAnsi="Arial" w:cs="Arial"/>
          <w:sz w:val="24"/>
          <w:szCs w:val="20"/>
        </w:rPr>
      </w:pPr>
      <w:r>
        <w:rPr>
          <w:rFonts w:ascii="Arial" w:eastAsia="Times New Roman" w:hAnsi="Arial" w:cs="Arial"/>
          <w:sz w:val="24"/>
          <w:szCs w:val="20"/>
        </w:rPr>
        <w:t xml:space="preserve"> 5.</w:t>
      </w:r>
      <w:r w:rsidR="00AD4E6C">
        <w:rPr>
          <w:rFonts w:ascii="Arial" w:eastAsia="Times New Roman" w:hAnsi="Arial" w:cs="Arial"/>
          <w:sz w:val="24"/>
          <w:szCs w:val="20"/>
        </w:rPr>
        <w:t xml:space="preserve">5 Mr </w:t>
      </w:r>
      <w:r w:rsidR="00394A17">
        <w:rPr>
          <w:rFonts w:ascii="Arial" w:eastAsia="Times New Roman" w:hAnsi="Arial" w:cs="Arial"/>
          <w:sz w:val="24"/>
          <w:szCs w:val="20"/>
        </w:rPr>
        <w:t>X</w:t>
      </w:r>
      <w:r w:rsidR="00AD4E6C">
        <w:rPr>
          <w:rFonts w:ascii="Arial" w:eastAsia="Times New Roman" w:hAnsi="Arial" w:cs="Arial"/>
          <w:sz w:val="24"/>
          <w:szCs w:val="20"/>
        </w:rPr>
        <w:t xml:space="preserve"> informs me that his work-related activity is limited to telephone consultations and he has not been required to attend group meetings</w:t>
      </w:r>
    </w:p>
    <w:p w14:paraId="21D1DA8A" w14:textId="0AB9A692" w:rsidR="007F19A4" w:rsidRDefault="007F19A4" w:rsidP="002A2A05">
      <w:pPr>
        <w:spacing w:after="0" w:line="240" w:lineRule="auto"/>
        <w:ind w:left="851" w:right="413"/>
        <w:rPr>
          <w:rFonts w:ascii="Arial" w:eastAsia="Times New Roman" w:hAnsi="Arial" w:cs="Arial"/>
          <w:sz w:val="24"/>
          <w:szCs w:val="20"/>
        </w:rPr>
      </w:pPr>
    </w:p>
    <w:p w14:paraId="431E40F2" w14:textId="3FEFC280" w:rsidR="007F19A4" w:rsidRPr="00AE05EF" w:rsidRDefault="007F19A4" w:rsidP="002A2A05">
      <w:pPr>
        <w:spacing w:after="0" w:line="240" w:lineRule="auto"/>
        <w:ind w:left="851" w:right="413"/>
        <w:rPr>
          <w:rFonts w:ascii="Arial" w:eastAsia="Times New Roman" w:hAnsi="Arial" w:cs="Arial"/>
          <w:b/>
          <w:bCs/>
          <w:sz w:val="24"/>
          <w:szCs w:val="20"/>
        </w:rPr>
      </w:pPr>
      <w:r>
        <w:rPr>
          <w:rFonts w:ascii="Arial" w:eastAsia="Times New Roman" w:hAnsi="Arial" w:cs="Arial"/>
          <w:sz w:val="24"/>
          <w:szCs w:val="20"/>
        </w:rPr>
        <w:t>5.</w:t>
      </w:r>
      <w:r w:rsidR="00AD4E6C">
        <w:rPr>
          <w:rFonts w:ascii="Arial" w:eastAsia="Times New Roman" w:hAnsi="Arial" w:cs="Arial"/>
          <w:sz w:val="24"/>
          <w:szCs w:val="20"/>
        </w:rPr>
        <w:t>6</w:t>
      </w:r>
      <w:r>
        <w:rPr>
          <w:rFonts w:ascii="Arial" w:eastAsia="Times New Roman" w:hAnsi="Arial" w:cs="Arial"/>
          <w:sz w:val="24"/>
          <w:szCs w:val="20"/>
        </w:rPr>
        <w:t xml:space="preserve"> I </w:t>
      </w:r>
      <w:r w:rsidR="00B612EF">
        <w:rPr>
          <w:rFonts w:ascii="Arial" w:eastAsia="Times New Roman" w:hAnsi="Arial" w:cs="Arial"/>
          <w:sz w:val="24"/>
          <w:szCs w:val="20"/>
        </w:rPr>
        <w:t>submit</w:t>
      </w:r>
      <w:r>
        <w:rPr>
          <w:rFonts w:ascii="Arial" w:eastAsia="Times New Roman" w:hAnsi="Arial" w:cs="Arial"/>
          <w:sz w:val="24"/>
          <w:szCs w:val="20"/>
        </w:rPr>
        <w:t xml:space="preserve"> that the points awarded by the Tribunal in Mr </w:t>
      </w:r>
      <w:r w:rsidR="00394A17">
        <w:rPr>
          <w:rFonts w:ascii="Arial" w:eastAsia="Times New Roman" w:hAnsi="Arial" w:cs="Arial"/>
          <w:sz w:val="24"/>
          <w:szCs w:val="20"/>
        </w:rPr>
        <w:t>X</w:t>
      </w:r>
      <w:r>
        <w:rPr>
          <w:rFonts w:ascii="Arial" w:eastAsia="Times New Roman" w:hAnsi="Arial" w:cs="Arial"/>
          <w:sz w:val="24"/>
          <w:szCs w:val="20"/>
        </w:rPr>
        <w:t>’s ESA case are relevant.  The Tribunal’s decision was not challenged by the Respondent</w:t>
      </w:r>
      <w:r w:rsidR="00504B9C">
        <w:rPr>
          <w:rFonts w:ascii="Arial" w:eastAsia="Times New Roman" w:hAnsi="Arial" w:cs="Arial"/>
          <w:sz w:val="24"/>
          <w:szCs w:val="20"/>
        </w:rPr>
        <w:t xml:space="preserve">, </w:t>
      </w:r>
      <w:r w:rsidR="00AD4E6C">
        <w:rPr>
          <w:rFonts w:ascii="Arial" w:eastAsia="Times New Roman" w:hAnsi="Arial" w:cs="Arial"/>
          <w:sz w:val="24"/>
          <w:szCs w:val="20"/>
        </w:rPr>
        <w:t>and I</w:t>
      </w:r>
      <w:r w:rsidR="00FB7E3D">
        <w:rPr>
          <w:rFonts w:ascii="Arial" w:eastAsia="Times New Roman" w:hAnsi="Arial" w:cs="Arial"/>
          <w:sz w:val="24"/>
          <w:szCs w:val="20"/>
        </w:rPr>
        <w:t xml:space="preserve"> suggest that the decision</w:t>
      </w:r>
      <w:r>
        <w:rPr>
          <w:rFonts w:ascii="Arial" w:eastAsia="Times New Roman" w:hAnsi="Arial" w:cs="Arial"/>
          <w:sz w:val="24"/>
          <w:szCs w:val="20"/>
        </w:rPr>
        <w:t xml:space="preserve"> supports my submission that Daily Living Descriptor 9(c) and Mobility Descriptor 2 (b) are net in the present case</w:t>
      </w:r>
    </w:p>
    <w:p w14:paraId="58E4E1BC" w14:textId="77777777" w:rsidR="00282586" w:rsidRDefault="00282586" w:rsidP="00282586">
      <w:pPr>
        <w:spacing w:after="0" w:line="240" w:lineRule="auto"/>
        <w:ind w:left="720" w:right="555"/>
        <w:rPr>
          <w:rFonts w:ascii="Arial" w:eastAsia="Times New Roman" w:hAnsi="Arial" w:cs="Arial"/>
          <w:sz w:val="24"/>
          <w:szCs w:val="20"/>
        </w:rPr>
      </w:pPr>
    </w:p>
    <w:p w14:paraId="5C08FB3F" w14:textId="379EA227" w:rsidR="00004949" w:rsidRDefault="00AE05EF" w:rsidP="00FE32B6">
      <w:pPr>
        <w:numPr>
          <w:ilvl w:val="0"/>
          <w:numId w:val="4"/>
        </w:numPr>
        <w:spacing w:after="0" w:line="240" w:lineRule="auto"/>
        <w:ind w:right="555"/>
        <w:rPr>
          <w:rFonts w:ascii="Arial" w:eastAsia="Times New Roman" w:hAnsi="Arial" w:cs="Arial"/>
          <w:sz w:val="24"/>
          <w:szCs w:val="20"/>
        </w:rPr>
      </w:pPr>
      <w:r>
        <w:rPr>
          <w:rFonts w:ascii="Arial" w:eastAsia="Times New Roman" w:hAnsi="Arial" w:cs="Arial"/>
          <w:sz w:val="24"/>
          <w:szCs w:val="20"/>
        </w:rPr>
        <w:t xml:space="preserve">The Respondent has effectively rubber stamped an arguably inadequate HCP report and she seeks to justify this by her statement at </w:t>
      </w:r>
      <w:r w:rsidRPr="00AE05EF">
        <w:rPr>
          <w:rFonts w:ascii="Arial" w:eastAsia="Times New Roman" w:hAnsi="Arial" w:cs="Arial"/>
          <w:b/>
          <w:bCs/>
          <w:sz w:val="24"/>
          <w:szCs w:val="20"/>
        </w:rPr>
        <w:t xml:space="preserve">S4(7) page </w:t>
      </w:r>
      <w:r w:rsidR="00FE32B6">
        <w:rPr>
          <w:rFonts w:ascii="Arial" w:eastAsia="Times New Roman" w:hAnsi="Arial" w:cs="Arial"/>
          <w:b/>
          <w:bCs/>
          <w:sz w:val="24"/>
          <w:szCs w:val="20"/>
        </w:rPr>
        <w:t>F</w:t>
      </w:r>
      <w:r w:rsidRPr="00AE05EF">
        <w:rPr>
          <w:rFonts w:ascii="Arial" w:eastAsia="Times New Roman" w:hAnsi="Arial" w:cs="Arial"/>
          <w:b/>
          <w:bCs/>
          <w:sz w:val="24"/>
          <w:szCs w:val="20"/>
        </w:rPr>
        <w:t xml:space="preserve"> of the Response</w:t>
      </w:r>
      <w:r w:rsidR="00411152">
        <w:rPr>
          <w:rFonts w:ascii="Arial" w:eastAsia="Times New Roman" w:hAnsi="Arial" w:cs="Arial"/>
          <w:sz w:val="24"/>
          <w:szCs w:val="20"/>
        </w:rPr>
        <w:t xml:space="preserve">. </w:t>
      </w:r>
    </w:p>
    <w:p w14:paraId="0E3F8346" w14:textId="359BD219" w:rsidR="00AE05EF" w:rsidRDefault="00AE05EF" w:rsidP="00AE05EF">
      <w:pPr>
        <w:spacing w:after="0" w:line="240" w:lineRule="auto"/>
        <w:ind w:left="720" w:right="555"/>
        <w:rPr>
          <w:rFonts w:ascii="Arial" w:eastAsia="Times New Roman" w:hAnsi="Arial" w:cs="Arial"/>
          <w:sz w:val="24"/>
          <w:szCs w:val="20"/>
        </w:rPr>
      </w:pPr>
    </w:p>
    <w:p w14:paraId="333B0B29" w14:textId="1DB8659B" w:rsidR="00AE05EF" w:rsidRPr="00AE05EF" w:rsidRDefault="00AE05EF" w:rsidP="00AE05EF">
      <w:pPr>
        <w:spacing w:after="0" w:line="240" w:lineRule="auto"/>
        <w:ind w:left="1985" w:right="1547"/>
        <w:rPr>
          <w:rFonts w:ascii="Arial" w:eastAsia="Times New Roman" w:hAnsi="Arial" w:cs="Arial"/>
          <w:sz w:val="24"/>
          <w:szCs w:val="20"/>
        </w:rPr>
      </w:pPr>
      <w:r w:rsidRPr="00AE05EF">
        <w:rPr>
          <w:rFonts w:ascii="Arial" w:eastAsia="Times New Roman" w:hAnsi="Arial" w:cs="Arial"/>
          <w:sz w:val="24"/>
          <w:szCs w:val="20"/>
        </w:rPr>
        <w:t xml:space="preserve">The Health Professional is an independent trained disability analyst and assessed Mr </w:t>
      </w:r>
      <w:r w:rsidR="00394A17">
        <w:rPr>
          <w:rFonts w:ascii="Arial" w:eastAsia="Times New Roman" w:hAnsi="Arial" w:cs="Arial"/>
          <w:sz w:val="24"/>
          <w:szCs w:val="20"/>
        </w:rPr>
        <w:t>X</w:t>
      </w:r>
      <w:r w:rsidR="005D324C">
        <w:rPr>
          <w:rFonts w:ascii="Arial" w:eastAsia="Times New Roman" w:hAnsi="Arial" w:cs="Arial"/>
          <w:sz w:val="24"/>
          <w:szCs w:val="20"/>
        </w:rPr>
        <w:t>’s</w:t>
      </w:r>
      <w:r w:rsidRPr="00AE05EF">
        <w:rPr>
          <w:rFonts w:ascii="Arial" w:eastAsia="Times New Roman" w:hAnsi="Arial" w:cs="Arial"/>
          <w:sz w:val="24"/>
          <w:szCs w:val="20"/>
        </w:rPr>
        <w:t xml:space="preserve">s functional ability based on their knowledge of her medical conditions.  Their report includes clinical findings and formal and informal observations covering physical and mental health problems with Mr </w:t>
      </w:r>
      <w:r w:rsidR="00394A17">
        <w:rPr>
          <w:rFonts w:ascii="Arial" w:eastAsia="Times New Roman" w:hAnsi="Arial" w:cs="Arial"/>
          <w:sz w:val="24"/>
          <w:szCs w:val="20"/>
        </w:rPr>
        <w:t>X</w:t>
      </w:r>
      <w:r w:rsidRPr="00AE05EF">
        <w:rPr>
          <w:rFonts w:ascii="Arial" w:eastAsia="Times New Roman" w:hAnsi="Arial" w:cs="Arial"/>
          <w:sz w:val="24"/>
          <w:szCs w:val="20"/>
        </w:rPr>
        <w:t xml:space="preserve"> who gave a full account of a typical day</w:t>
      </w:r>
    </w:p>
    <w:p w14:paraId="7B27FEB4" w14:textId="77777777" w:rsidR="00AE05EF" w:rsidRPr="00AE05EF" w:rsidRDefault="00AE05EF" w:rsidP="00AE05EF">
      <w:pPr>
        <w:spacing w:after="0" w:line="240" w:lineRule="auto"/>
        <w:ind w:left="1985" w:right="1547"/>
        <w:rPr>
          <w:rFonts w:ascii="Arial" w:eastAsia="Times New Roman" w:hAnsi="Arial" w:cs="Arial"/>
          <w:sz w:val="24"/>
          <w:szCs w:val="20"/>
        </w:rPr>
      </w:pPr>
    </w:p>
    <w:p w14:paraId="4863454A" w14:textId="21B83FEF" w:rsidR="00AE05EF" w:rsidRPr="00AE05EF" w:rsidRDefault="00AE05EF" w:rsidP="00AE05EF">
      <w:pPr>
        <w:spacing w:after="0" w:line="240" w:lineRule="auto"/>
        <w:ind w:left="1985" w:right="1547"/>
        <w:rPr>
          <w:rFonts w:ascii="Arial" w:eastAsia="Times New Roman" w:hAnsi="Arial" w:cs="Arial"/>
          <w:sz w:val="24"/>
          <w:szCs w:val="20"/>
        </w:rPr>
      </w:pPr>
      <w:r w:rsidRPr="00AE05EF">
        <w:rPr>
          <w:rFonts w:ascii="Arial" w:eastAsia="Times New Roman" w:hAnsi="Arial" w:cs="Arial"/>
          <w:sz w:val="24"/>
          <w:szCs w:val="20"/>
        </w:rPr>
        <w:t xml:space="preserve">I consider the Health Professional’s report is objective and accurately reflects </w:t>
      </w:r>
      <w:r w:rsidR="00E33F26">
        <w:rPr>
          <w:rFonts w:ascii="Arial" w:eastAsia="Times New Roman" w:hAnsi="Arial" w:cs="Arial"/>
          <w:sz w:val="24"/>
          <w:szCs w:val="20"/>
        </w:rPr>
        <w:t xml:space="preserve">Mr </w:t>
      </w:r>
      <w:r w:rsidR="00394A17">
        <w:rPr>
          <w:rFonts w:ascii="Arial" w:eastAsia="Times New Roman" w:hAnsi="Arial" w:cs="Arial"/>
          <w:sz w:val="24"/>
          <w:szCs w:val="20"/>
        </w:rPr>
        <w:t>X</w:t>
      </w:r>
      <w:r w:rsidR="00E33F26">
        <w:rPr>
          <w:rFonts w:ascii="Arial" w:eastAsia="Times New Roman" w:hAnsi="Arial" w:cs="Arial"/>
          <w:sz w:val="24"/>
          <w:szCs w:val="20"/>
        </w:rPr>
        <w:t>’s</w:t>
      </w:r>
      <w:r w:rsidRPr="00AE05EF">
        <w:rPr>
          <w:rFonts w:ascii="Arial" w:eastAsia="Times New Roman" w:hAnsi="Arial" w:cs="Arial"/>
          <w:sz w:val="24"/>
          <w:szCs w:val="20"/>
        </w:rPr>
        <w:t xml:space="preserve"> ability to complete the Daily Living and Mobility activities. </w:t>
      </w:r>
    </w:p>
    <w:p w14:paraId="2365F224" w14:textId="77777777" w:rsidR="00AE05EF" w:rsidRPr="00AE05EF" w:rsidRDefault="00AE05EF" w:rsidP="00AE05EF">
      <w:pPr>
        <w:spacing w:after="0" w:line="240" w:lineRule="auto"/>
        <w:ind w:left="709" w:right="413" w:firstLine="360"/>
        <w:rPr>
          <w:rFonts w:ascii="Arial" w:eastAsia="Times New Roman" w:hAnsi="Arial" w:cs="Arial"/>
          <w:sz w:val="24"/>
          <w:szCs w:val="20"/>
        </w:rPr>
      </w:pPr>
    </w:p>
    <w:p w14:paraId="09A1393B" w14:textId="5E1E4DD1" w:rsidR="00FE32B6" w:rsidRPr="00FE32B6" w:rsidRDefault="00FE32B6" w:rsidP="00FE32B6">
      <w:pPr>
        <w:pStyle w:val="ListParagraph"/>
        <w:numPr>
          <w:ilvl w:val="1"/>
          <w:numId w:val="4"/>
        </w:numPr>
        <w:spacing w:after="0" w:line="240" w:lineRule="auto"/>
        <w:ind w:right="555"/>
        <w:rPr>
          <w:rFonts w:ascii="Arial" w:hAnsi="Arial" w:cs="Arial"/>
          <w:b/>
          <w:bCs/>
          <w:sz w:val="24"/>
          <w:szCs w:val="24"/>
        </w:rPr>
      </w:pPr>
      <w:r w:rsidRPr="00FE32B6">
        <w:rPr>
          <w:rFonts w:ascii="Arial" w:hAnsi="Arial" w:cs="Arial"/>
          <w:sz w:val="24"/>
          <w:szCs w:val="24"/>
        </w:rPr>
        <w:t xml:space="preserve">The Respondent also seeks to justify her stance by referring </w:t>
      </w:r>
      <w:r w:rsidR="002F682A">
        <w:rPr>
          <w:rFonts w:ascii="Arial" w:hAnsi="Arial" w:cs="Arial"/>
          <w:sz w:val="24"/>
          <w:szCs w:val="24"/>
        </w:rPr>
        <w:t>to</w:t>
      </w:r>
      <w:r w:rsidRPr="00FE32B6">
        <w:rPr>
          <w:rFonts w:ascii="Arial" w:hAnsi="Arial" w:cs="Arial"/>
          <w:sz w:val="24"/>
          <w:szCs w:val="24"/>
        </w:rPr>
        <w:t xml:space="preserve"> the Gray Report (</w:t>
      </w:r>
      <w:r w:rsidRPr="00FE32B6">
        <w:rPr>
          <w:rFonts w:ascii="Arial" w:hAnsi="Arial" w:cs="Arial"/>
          <w:b/>
          <w:bCs/>
          <w:sz w:val="24"/>
          <w:szCs w:val="24"/>
        </w:rPr>
        <w:t>S4(4) page E of the Response)</w:t>
      </w:r>
    </w:p>
    <w:p w14:paraId="091D4E00" w14:textId="77777777" w:rsidR="00FE32B6" w:rsidRDefault="00FE32B6" w:rsidP="00FE32B6">
      <w:pPr>
        <w:pStyle w:val="ListParagraph"/>
        <w:rPr>
          <w:rFonts w:ascii="Arial" w:hAnsi="Arial" w:cs="Arial"/>
          <w:b/>
          <w:bCs/>
          <w:sz w:val="24"/>
          <w:szCs w:val="24"/>
        </w:rPr>
      </w:pPr>
    </w:p>
    <w:p w14:paraId="44460701" w14:textId="77777777" w:rsidR="00FE32B6" w:rsidRDefault="00FE32B6" w:rsidP="00FE32B6">
      <w:pPr>
        <w:numPr>
          <w:ilvl w:val="1"/>
          <w:numId w:val="4"/>
        </w:numPr>
        <w:spacing w:after="0" w:line="240" w:lineRule="auto"/>
        <w:ind w:left="1070"/>
        <w:rPr>
          <w:rFonts w:ascii="Arial" w:hAnsi="Arial" w:cs="Arial"/>
          <w:sz w:val="24"/>
        </w:rPr>
      </w:pPr>
      <w:r>
        <w:rPr>
          <w:rFonts w:ascii="Arial" w:hAnsi="Arial" w:cs="Arial"/>
          <w:sz w:val="24"/>
          <w:szCs w:val="24"/>
        </w:rPr>
        <w:t>There have been two Gray Reports.  Both those reports were commissioned by the Respondent and are thus arguably not independent.  They have both been criticised for their terms of reference</w:t>
      </w:r>
      <w:r w:rsidRPr="0043787E">
        <w:rPr>
          <w:rFonts w:ascii="Arial" w:hAnsi="Arial" w:cs="Arial"/>
          <w:sz w:val="24"/>
        </w:rPr>
        <w:t xml:space="preserve"> </w:t>
      </w:r>
      <w:r>
        <w:rPr>
          <w:rFonts w:ascii="Arial" w:hAnsi="Arial" w:cs="Arial"/>
          <w:sz w:val="24"/>
        </w:rPr>
        <w:t xml:space="preserve">and </w:t>
      </w:r>
      <w:r w:rsidRPr="0043787E">
        <w:rPr>
          <w:rFonts w:ascii="Arial" w:hAnsi="Arial" w:cs="Arial"/>
          <w:sz w:val="24"/>
        </w:rPr>
        <w:t>also because much of the evidence collected was anecdotal (statements from front line decision makers).  I nevertheless could not find anything in either report that could justify the Respondent’s claims.  Indeed, in Chapter 4 of the second report it is noted at [36] (the emphasis is mine)</w:t>
      </w:r>
    </w:p>
    <w:p w14:paraId="4D878342" w14:textId="77777777" w:rsidR="00FE32B6" w:rsidRDefault="00FE32B6" w:rsidP="00FE32B6">
      <w:pPr>
        <w:ind w:left="1070"/>
        <w:rPr>
          <w:rFonts w:ascii="Arial" w:hAnsi="Arial" w:cs="Arial"/>
          <w:sz w:val="24"/>
        </w:rPr>
      </w:pPr>
    </w:p>
    <w:p w14:paraId="62C36945" w14:textId="35DCF95F" w:rsidR="00FE32B6" w:rsidRDefault="00FE32B6" w:rsidP="00FE32B6">
      <w:pPr>
        <w:ind w:left="1985" w:right="1122"/>
        <w:rPr>
          <w:rFonts w:ascii="Arial" w:hAnsi="Arial" w:cs="Arial"/>
          <w:sz w:val="24"/>
        </w:rPr>
      </w:pPr>
      <w:r w:rsidRPr="0043787E">
        <w:rPr>
          <w:rFonts w:ascii="Arial" w:hAnsi="Arial" w:cs="Arial"/>
          <w:sz w:val="24"/>
        </w:rPr>
        <w:t xml:space="preserve">Discussions with Tribunal Judges have however suggested that, rather than further written evidence, it is cogent oral evidence from the claimant at the hearing that is by far their most common reason for overturning decisions. </w:t>
      </w:r>
      <w:r w:rsidRPr="0043787E">
        <w:rPr>
          <w:rFonts w:ascii="Arial" w:hAnsi="Arial" w:cs="Arial"/>
          <w:b/>
          <w:sz w:val="24"/>
        </w:rPr>
        <w:t>This either means that this evidence is not sufficiently well-collected during the assessment or is not convincingly analysed or written-up</w:t>
      </w:r>
      <w:r w:rsidRPr="0043787E">
        <w:rPr>
          <w:rFonts w:ascii="Arial" w:hAnsi="Arial" w:cs="Arial"/>
          <w:sz w:val="24"/>
        </w:rPr>
        <w:t xml:space="preserve">. It may also mean that </w:t>
      </w:r>
      <w:r w:rsidRPr="0043787E">
        <w:rPr>
          <w:rFonts w:ascii="Arial" w:hAnsi="Arial" w:cs="Arial"/>
          <w:sz w:val="24"/>
        </w:rPr>
        <w:lastRenderedPageBreak/>
        <w:t>Tribunal Judges and Health Professionals are routinely coming to differing judgements based on the same evidence</w:t>
      </w:r>
    </w:p>
    <w:p w14:paraId="795782F5" w14:textId="4B9C3AF1" w:rsidR="00012722" w:rsidRPr="002F682A" w:rsidRDefault="00012722" w:rsidP="00012722">
      <w:pPr>
        <w:ind w:left="993" w:right="1122"/>
        <w:rPr>
          <w:rFonts w:ascii="Arial" w:hAnsi="Arial" w:cs="Arial"/>
          <w:sz w:val="24"/>
        </w:rPr>
      </w:pPr>
      <w:r>
        <w:rPr>
          <w:rFonts w:ascii="Arial" w:eastAsia="Times New Roman" w:hAnsi="Arial" w:cs="Arial"/>
          <w:sz w:val="24"/>
          <w:szCs w:val="20"/>
        </w:rPr>
        <w:t>6.3 It appears that the authors of the Gray reports are ignorant of the fact that ESA (WCA) and PIP appeals are not heard by a Judge sitting alone.  ( Paragraph 4 The  Practice Statement on the Composition of Tribunals provides that in PIP and DLA cases, the Tribunal will consist of “</w:t>
      </w:r>
      <w:r w:rsidRPr="00B37BF4">
        <w:rPr>
          <w:rFonts w:ascii="Arial" w:eastAsia="Times New Roman" w:hAnsi="Arial" w:cs="Arial"/>
          <w:sz w:val="24"/>
          <w:szCs w:val="20"/>
        </w:rPr>
        <w:t xml:space="preserve">a </w:t>
      </w:r>
      <w:r w:rsidRPr="00B37BF4">
        <w:rPr>
          <w:rFonts w:ascii="Arial" w:eastAsia="Times New Roman" w:hAnsi="Arial" w:cs="Arial"/>
          <w:i/>
          <w:iCs/>
          <w:sz w:val="24"/>
          <w:szCs w:val="20"/>
        </w:rPr>
        <w:t>Tribunal Judge, a Tribunal Member who is a registered medical practitioner, and a Tribunal Member who has a disability qualification as set out in article 2(3) of the Qualifications Order</w:t>
      </w:r>
      <w:r w:rsidRPr="00B37BF4">
        <w:rPr>
          <w:rFonts w:ascii="Arial" w:eastAsia="Times New Roman" w:hAnsi="Arial" w:cs="Arial"/>
          <w:sz w:val="24"/>
          <w:szCs w:val="20"/>
        </w:rPr>
        <w:t>.</w:t>
      </w:r>
      <w:r>
        <w:rPr>
          <w:rFonts w:ascii="Arial" w:eastAsia="Times New Roman" w:hAnsi="Arial" w:cs="Arial"/>
          <w:sz w:val="24"/>
          <w:szCs w:val="20"/>
        </w:rPr>
        <w:t>”  Paragraph 5(b), (c) and (h) of the Practice Statement provides that in ESA (WCA) cases, the Tribunal will consist of “</w:t>
      </w:r>
      <w:r w:rsidRPr="004816DF">
        <w:rPr>
          <w:rFonts w:ascii="Arial" w:eastAsia="Times New Roman" w:hAnsi="Arial" w:cs="Arial"/>
          <w:i/>
          <w:iCs/>
          <w:sz w:val="24"/>
          <w:szCs w:val="20"/>
        </w:rPr>
        <w:t>a Tribunal Judge and a Tribunal Member who is a registered medical practitioner</w:t>
      </w:r>
      <w:r w:rsidR="002F682A">
        <w:rPr>
          <w:rFonts w:ascii="Arial" w:eastAsia="Times New Roman" w:hAnsi="Arial" w:cs="Arial"/>
          <w:sz w:val="24"/>
          <w:szCs w:val="20"/>
        </w:rPr>
        <w:t>)</w:t>
      </w:r>
    </w:p>
    <w:p w14:paraId="5D70E5A6" w14:textId="77777777" w:rsidR="00FE32B6" w:rsidRDefault="00FE32B6" w:rsidP="00FE32B6">
      <w:pPr>
        <w:spacing w:after="0" w:line="240" w:lineRule="auto"/>
        <w:ind w:left="1069" w:right="413"/>
        <w:rPr>
          <w:rFonts w:ascii="Arial" w:eastAsia="Times New Roman" w:hAnsi="Arial" w:cs="Arial"/>
          <w:sz w:val="24"/>
          <w:szCs w:val="20"/>
        </w:rPr>
      </w:pPr>
    </w:p>
    <w:p w14:paraId="190702C8" w14:textId="684CD821" w:rsidR="00AE05EF" w:rsidRPr="00012722" w:rsidRDefault="00AE05EF" w:rsidP="00012722">
      <w:pPr>
        <w:pStyle w:val="ListParagraph"/>
        <w:numPr>
          <w:ilvl w:val="1"/>
          <w:numId w:val="24"/>
        </w:numPr>
        <w:spacing w:after="0" w:line="240" w:lineRule="auto"/>
        <w:ind w:right="413"/>
        <w:rPr>
          <w:rFonts w:ascii="Arial" w:eastAsia="Times New Roman" w:hAnsi="Arial" w:cs="Arial"/>
          <w:sz w:val="24"/>
          <w:szCs w:val="20"/>
        </w:rPr>
      </w:pPr>
      <w:r w:rsidRPr="00012722">
        <w:rPr>
          <w:rFonts w:ascii="Arial" w:eastAsia="Times New Roman" w:hAnsi="Arial" w:cs="Arial"/>
          <w:sz w:val="24"/>
          <w:szCs w:val="20"/>
        </w:rPr>
        <w:t xml:space="preserve"> On 7 February 2018 the House of Commons Work and Pensions Committee published a report “PIP and ESA Assessments”.  That report concluded inter alia: (</w:t>
      </w:r>
      <w:r w:rsidRPr="00012722">
        <w:rPr>
          <w:rFonts w:ascii="Arial" w:eastAsia="Times New Roman" w:hAnsi="Arial" w:cs="Arial"/>
          <w:i/>
          <w:sz w:val="24"/>
          <w:szCs w:val="20"/>
        </w:rPr>
        <w:t>any emphasis is mine</w:t>
      </w:r>
      <w:r w:rsidRPr="00012722">
        <w:rPr>
          <w:rFonts w:ascii="Arial" w:eastAsia="Times New Roman" w:hAnsi="Arial" w:cs="Arial"/>
          <w:sz w:val="24"/>
          <w:szCs w:val="20"/>
        </w:rPr>
        <w:t>)</w:t>
      </w:r>
    </w:p>
    <w:p w14:paraId="3D0272DF" w14:textId="77777777" w:rsidR="00AE05EF" w:rsidRPr="00AE05EF" w:rsidRDefault="00AE05EF" w:rsidP="00AE05EF">
      <w:pPr>
        <w:spacing w:after="0" w:line="240" w:lineRule="auto"/>
        <w:ind w:left="1069" w:right="413"/>
        <w:rPr>
          <w:rFonts w:ascii="Arial" w:eastAsia="Times New Roman" w:hAnsi="Arial" w:cs="Arial"/>
          <w:sz w:val="24"/>
          <w:szCs w:val="20"/>
        </w:rPr>
      </w:pPr>
    </w:p>
    <w:p w14:paraId="21FDA20A" w14:textId="77777777" w:rsidR="00AE05EF" w:rsidRPr="00AE05EF" w:rsidRDefault="00AE05EF" w:rsidP="00AE05EF">
      <w:pPr>
        <w:spacing w:after="0" w:line="240" w:lineRule="auto"/>
        <w:ind w:left="1985" w:right="1405"/>
        <w:rPr>
          <w:rFonts w:ascii="Arial" w:eastAsia="Times New Roman" w:hAnsi="Arial" w:cs="Arial"/>
          <w:sz w:val="24"/>
          <w:szCs w:val="20"/>
        </w:rPr>
      </w:pPr>
      <w:r w:rsidRPr="00AE05EF">
        <w:rPr>
          <w:rFonts w:ascii="Arial" w:eastAsia="Times New Roman" w:hAnsi="Arial" w:cs="Arial"/>
          <w:sz w:val="24"/>
          <w:szCs w:val="20"/>
        </w:rPr>
        <w:t xml:space="preserve">Ultimately, while the Department sets quality standards, it is up to contractors to meet them. </w:t>
      </w:r>
      <w:r w:rsidRPr="00AE05EF">
        <w:rPr>
          <w:rFonts w:ascii="Arial" w:eastAsia="Times New Roman" w:hAnsi="Arial" w:cs="Arial"/>
          <w:b/>
          <w:sz w:val="24"/>
          <w:szCs w:val="20"/>
        </w:rPr>
        <w:t>The Department’s existing standards set a low bar for what is considered acceptable</w:t>
      </w:r>
      <w:r w:rsidRPr="00AE05EF">
        <w:rPr>
          <w:rFonts w:ascii="Arial" w:eastAsia="Times New Roman" w:hAnsi="Arial" w:cs="Arial"/>
          <w:sz w:val="24"/>
          <w:szCs w:val="20"/>
        </w:rPr>
        <w:t xml:space="preserve">. </w:t>
      </w:r>
      <w:r w:rsidRPr="00AE05EF">
        <w:rPr>
          <w:rFonts w:ascii="Arial" w:eastAsia="Times New Roman" w:hAnsi="Arial" w:cs="Arial"/>
          <w:b/>
          <w:sz w:val="24"/>
          <w:szCs w:val="20"/>
        </w:rPr>
        <w:t>Despite this, all three contractors have failed to meet key targets on levels of unacceptable reports in any single period</w:t>
      </w:r>
      <w:r w:rsidRPr="00AE05EF">
        <w:rPr>
          <w:rFonts w:ascii="Arial" w:eastAsia="Times New Roman" w:hAnsi="Arial" w:cs="Arial"/>
          <w:sz w:val="24"/>
          <w:szCs w:val="20"/>
        </w:rPr>
        <w:t>. In Capita’s case, as many as 56% of reports were found to be unacceptable during the contract. The Department’s use of financial penalties to bring reports up to standard has not had a consistent effect. Both Capita and Atos have seen increases in the proportion of reports graded “unacceptable” in recent months. Large sums of money have been paid to contractors despite quality targets having been universally missed. The Government has also spent hundreds of millions of pounds more checking and defending the Department’s decisions.</w:t>
      </w:r>
    </w:p>
    <w:p w14:paraId="1A3E28FC" w14:textId="77777777" w:rsidR="00AE05EF" w:rsidRPr="00AE05EF" w:rsidRDefault="00AE05EF" w:rsidP="00AE05EF">
      <w:pPr>
        <w:spacing w:after="0" w:line="240" w:lineRule="auto"/>
        <w:ind w:left="1985" w:right="1405"/>
        <w:rPr>
          <w:rFonts w:ascii="Arial" w:eastAsia="Times New Roman" w:hAnsi="Arial" w:cs="Arial"/>
          <w:sz w:val="24"/>
          <w:szCs w:val="20"/>
        </w:rPr>
      </w:pPr>
    </w:p>
    <w:p w14:paraId="5DB70CBC" w14:textId="61042836" w:rsidR="00AE05EF" w:rsidRPr="00AE05EF" w:rsidRDefault="00AE05EF" w:rsidP="00012722">
      <w:pPr>
        <w:numPr>
          <w:ilvl w:val="1"/>
          <w:numId w:val="24"/>
        </w:numPr>
        <w:spacing w:after="0" w:line="240" w:lineRule="auto"/>
        <w:ind w:right="413"/>
        <w:rPr>
          <w:rFonts w:ascii="Arial" w:eastAsia="Times New Roman" w:hAnsi="Arial" w:cs="Arial"/>
          <w:sz w:val="24"/>
          <w:szCs w:val="20"/>
        </w:rPr>
      </w:pPr>
      <w:r w:rsidRPr="00AE05EF">
        <w:rPr>
          <w:rFonts w:ascii="Arial" w:eastAsia="Times New Roman" w:hAnsi="Arial" w:cs="Arial"/>
          <w:sz w:val="24"/>
          <w:szCs w:val="20"/>
        </w:rPr>
        <w:t xml:space="preserve">  The </w:t>
      </w:r>
      <w:r>
        <w:rPr>
          <w:rFonts w:ascii="Arial" w:eastAsia="Times New Roman" w:hAnsi="Arial" w:cs="Arial"/>
          <w:sz w:val="24"/>
          <w:szCs w:val="20"/>
        </w:rPr>
        <w:t>Respondent’</w:t>
      </w:r>
      <w:r w:rsidRPr="00AE05EF">
        <w:rPr>
          <w:rFonts w:ascii="Arial" w:eastAsia="Times New Roman" w:hAnsi="Arial" w:cs="Arial"/>
          <w:sz w:val="24"/>
          <w:szCs w:val="20"/>
        </w:rPr>
        <w:t>s assertions are arguably unsustainable in the light of the above.</w:t>
      </w:r>
    </w:p>
    <w:p w14:paraId="5270632F" w14:textId="77777777" w:rsidR="00AE05EF" w:rsidRPr="00AE05EF" w:rsidRDefault="00AE05EF" w:rsidP="00AE05EF">
      <w:pPr>
        <w:spacing w:after="0" w:line="240" w:lineRule="auto"/>
        <w:ind w:left="720" w:right="413"/>
        <w:rPr>
          <w:rFonts w:ascii="Arial" w:eastAsia="Times New Roman" w:hAnsi="Arial" w:cs="Arial"/>
          <w:b/>
          <w:sz w:val="24"/>
          <w:szCs w:val="20"/>
        </w:rPr>
      </w:pPr>
    </w:p>
    <w:p w14:paraId="3C99E894" w14:textId="274E264C" w:rsidR="00AE05EF" w:rsidRPr="00AE05EF" w:rsidRDefault="00AE05EF" w:rsidP="005370D7">
      <w:pPr>
        <w:numPr>
          <w:ilvl w:val="0"/>
          <w:numId w:val="24"/>
        </w:numPr>
        <w:spacing w:after="0" w:line="240" w:lineRule="auto"/>
        <w:ind w:left="567" w:right="413" w:hanging="283"/>
        <w:rPr>
          <w:rFonts w:ascii="Arial" w:eastAsia="Times New Roman" w:hAnsi="Arial" w:cs="Arial"/>
          <w:b/>
          <w:sz w:val="24"/>
          <w:szCs w:val="20"/>
        </w:rPr>
      </w:pPr>
      <w:r w:rsidRPr="00AE05EF">
        <w:rPr>
          <w:rFonts w:ascii="Arial" w:eastAsia="Times New Roman" w:hAnsi="Arial" w:cs="Arial"/>
          <w:sz w:val="24"/>
          <w:szCs w:val="20"/>
        </w:rPr>
        <w:t>The</w:t>
      </w:r>
      <w:r w:rsidR="00CB52DA">
        <w:rPr>
          <w:rFonts w:ascii="Arial" w:eastAsia="Times New Roman" w:hAnsi="Arial" w:cs="Arial"/>
          <w:sz w:val="24"/>
          <w:szCs w:val="20"/>
        </w:rPr>
        <w:t xml:space="preserve"> HCP</w:t>
      </w:r>
      <w:r w:rsidRPr="00AE05EF">
        <w:rPr>
          <w:rFonts w:ascii="Arial" w:eastAsia="Times New Roman" w:hAnsi="Arial" w:cs="Arial"/>
          <w:sz w:val="24"/>
          <w:szCs w:val="20"/>
        </w:rPr>
        <w:t xml:space="preserve"> who carried out the assessment was a </w:t>
      </w:r>
      <w:r w:rsidR="00CB52DA">
        <w:rPr>
          <w:rFonts w:ascii="Arial" w:eastAsia="Times New Roman" w:hAnsi="Arial" w:cs="Arial"/>
          <w:sz w:val="24"/>
          <w:szCs w:val="20"/>
        </w:rPr>
        <w:t>nurse</w:t>
      </w:r>
      <w:r w:rsidRPr="00AE05EF">
        <w:rPr>
          <w:rFonts w:ascii="Arial" w:eastAsia="Times New Roman" w:hAnsi="Arial" w:cs="Arial"/>
          <w:sz w:val="24"/>
          <w:szCs w:val="20"/>
        </w:rPr>
        <w:t xml:space="preserve"> who apparently has no specialist training or qualifications.</w:t>
      </w:r>
    </w:p>
    <w:p w14:paraId="777C3BD2" w14:textId="77777777" w:rsidR="00AE05EF" w:rsidRPr="00AE05EF" w:rsidRDefault="00AE05EF" w:rsidP="00AE05EF">
      <w:pPr>
        <w:spacing w:after="0" w:line="240" w:lineRule="auto"/>
        <w:ind w:left="720"/>
        <w:rPr>
          <w:rFonts w:ascii="Arial" w:eastAsia="Times New Roman" w:hAnsi="Arial" w:cs="Arial"/>
          <w:b/>
          <w:sz w:val="24"/>
          <w:szCs w:val="20"/>
        </w:rPr>
      </w:pPr>
    </w:p>
    <w:p w14:paraId="740FE11F" w14:textId="5B72B902" w:rsidR="00AE05EF" w:rsidRPr="00AE05EF" w:rsidRDefault="00FE32B6" w:rsidP="00AE05EF">
      <w:pPr>
        <w:spacing w:after="0" w:line="240" w:lineRule="auto"/>
        <w:ind w:left="1134" w:right="413" w:hanging="425"/>
        <w:rPr>
          <w:rFonts w:ascii="Arial" w:eastAsia="Times New Roman" w:hAnsi="Arial" w:cs="Arial"/>
          <w:sz w:val="24"/>
          <w:szCs w:val="20"/>
        </w:rPr>
      </w:pPr>
      <w:r>
        <w:rPr>
          <w:rFonts w:ascii="Arial" w:eastAsia="Times New Roman" w:hAnsi="Arial" w:cs="Arial"/>
          <w:sz w:val="24"/>
          <w:szCs w:val="20"/>
        </w:rPr>
        <w:t>7</w:t>
      </w:r>
      <w:r w:rsidR="00AE05EF" w:rsidRPr="00AE05EF">
        <w:rPr>
          <w:rFonts w:ascii="Arial" w:eastAsia="Times New Roman" w:hAnsi="Arial" w:cs="Arial"/>
          <w:sz w:val="24"/>
          <w:szCs w:val="20"/>
        </w:rPr>
        <w:t xml:space="preserve">.1 I will concede that in JF v Secretary of State for Work and Pensions (ESA) [2013] UKUT 0269 (AAC) CIB/419/2011, Judge Ovey held (at [19]) that as a matter of law, the Secretary of State can rely on a medical report that had been prepared by a non-specialist nurse or paramedic , but Judge Ovey’s decision does not make an HCP’s qualifications (or lack of them) irrelevant. </w:t>
      </w:r>
    </w:p>
    <w:p w14:paraId="203C4997" w14:textId="77777777" w:rsidR="00AE05EF" w:rsidRPr="00AE05EF" w:rsidRDefault="00AE05EF" w:rsidP="00AE05EF">
      <w:pPr>
        <w:spacing w:after="0" w:line="240" w:lineRule="auto"/>
        <w:ind w:left="786" w:right="413"/>
        <w:rPr>
          <w:rFonts w:ascii="Arial" w:eastAsia="Times New Roman" w:hAnsi="Arial" w:cs="Arial"/>
          <w:sz w:val="24"/>
          <w:szCs w:val="20"/>
        </w:rPr>
      </w:pPr>
    </w:p>
    <w:p w14:paraId="43DFEBEA" w14:textId="6AE1E813" w:rsidR="00AE05EF" w:rsidRPr="00AE05EF" w:rsidRDefault="00FE32B6" w:rsidP="00AE05EF">
      <w:pPr>
        <w:spacing w:after="0" w:line="240" w:lineRule="auto"/>
        <w:ind w:left="1134" w:right="413" w:hanging="425"/>
        <w:rPr>
          <w:rFonts w:ascii="Arial" w:eastAsia="Times New Roman" w:hAnsi="Arial" w:cs="Arial"/>
          <w:sz w:val="24"/>
          <w:szCs w:val="20"/>
        </w:rPr>
      </w:pPr>
      <w:r>
        <w:rPr>
          <w:rFonts w:ascii="Arial" w:eastAsia="Times New Roman" w:hAnsi="Arial" w:cs="Arial"/>
          <w:sz w:val="24"/>
          <w:szCs w:val="20"/>
        </w:rPr>
        <w:t>7</w:t>
      </w:r>
      <w:r w:rsidR="00AE05EF" w:rsidRPr="00AE05EF">
        <w:rPr>
          <w:rFonts w:ascii="Arial" w:eastAsia="Times New Roman" w:hAnsi="Arial" w:cs="Arial"/>
          <w:sz w:val="24"/>
          <w:szCs w:val="20"/>
        </w:rPr>
        <w:t xml:space="preserve">.2 </w:t>
      </w:r>
      <w:r w:rsidR="00AE05EF" w:rsidRPr="00AE05EF">
        <w:rPr>
          <w:rFonts w:ascii="Arial" w:eastAsia="Times New Roman" w:hAnsi="Arial" w:cs="Arial"/>
          <w:sz w:val="24"/>
          <w:szCs w:val="20"/>
        </w:rPr>
        <w:tab/>
        <w:t>In JH v Secretary of State for Work and Pensions (ESA) [2013] UKUT 0269 (AAC) CE/3883/2012 (at [22]) Judge Mark seems to disagree with Judge Ovey</w:t>
      </w:r>
    </w:p>
    <w:p w14:paraId="006A437B" w14:textId="77777777" w:rsidR="00AE05EF" w:rsidRPr="00AE05EF" w:rsidRDefault="00AE05EF" w:rsidP="00AE05EF">
      <w:pPr>
        <w:spacing w:after="0" w:line="240" w:lineRule="auto"/>
        <w:ind w:left="786" w:right="413"/>
        <w:rPr>
          <w:rFonts w:ascii="Arial" w:eastAsia="Times New Roman" w:hAnsi="Arial" w:cs="Arial"/>
          <w:sz w:val="24"/>
          <w:szCs w:val="20"/>
        </w:rPr>
      </w:pPr>
    </w:p>
    <w:p w14:paraId="07AB8680" w14:textId="77777777" w:rsidR="00AE05EF" w:rsidRPr="00AE05EF" w:rsidRDefault="00AE05EF" w:rsidP="00AE05EF">
      <w:pPr>
        <w:spacing w:after="0" w:line="240" w:lineRule="auto"/>
        <w:ind w:left="1985" w:right="1122"/>
        <w:rPr>
          <w:rFonts w:ascii="Arial" w:eastAsia="Times New Roman" w:hAnsi="Arial" w:cs="Arial"/>
          <w:sz w:val="24"/>
          <w:szCs w:val="20"/>
        </w:rPr>
      </w:pPr>
      <w:r w:rsidRPr="00AE05EF">
        <w:rPr>
          <w:rFonts w:ascii="Arial" w:eastAsia="Times New Roman" w:hAnsi="Arial" w:cs="Arial"/>
          <w:sz w:val="24"/>
          <w:szCs w:val="20"/>
        </w:rPr>
        <w:t>22.</w:t>
      </w:r>
      <w:r w:rsidRPr="00AE05EF">
        <w:rPr>
          <w:rFonts w:ascii="Arial" w:eastAsia="Times New Roman" w:hAnsi="Arial" w:cs="Arial"/>
          <w:sz w:val="24"/>
          <w:szCs w:val="20"/>
        </w:rPr>
        <w:tab/>
        <w:t xml:space="preserve">Where, however, the disability analyst is a physiotherapist and the problems she is dealing with are mental health problems the opinion of the physiotherapist as to the conclusions to be drawn have no probative value whatsoever.  This is because the </w:t>
      </w:r>
      <w:r w:rsidRPr="00AE05EF">
        <w:rPr>
          <w:rFonts w:ascii="Arial" w:eastAsia="Times New Roman" w:hAnsi="Arial" w:cs="Arial"/>
          <w:sz w:val="24"/>
          <w:szCs w:val="20"/>
        </w:rPr>
        <w:lastRenderedPageBreak/>
        <w:t>physiotherapist has no professional expertise in mental health matters.  Although the strict rules of evidence do not apply, a tribunal can only take into account evidence that has probative value, so that, for example the decision of another judge as to the facts is simply his or her opinion as to the facts and has no probative value (see AM v Secretary of State, [2013] UKUT 094 (AAC), paragraphs 19-24, and the interim decision of Judge Turnbull in CH/1168/2011 setting aside the decision of a tribunal on the ground that it had relied in part on the findings of fact of another tribunal which represented no more than the opinion of that earlier tribunal as to the matter).</w:t>
      </w:r>
    </w:p>
    <w:p w14:paraId="5A53948C" w14:textId="77777777" w:rsidR="00AE05EF" w:rsidRPr="00AE05EF" w:rsidRDefault="00AE05EF" w:rsidP="00AE05EF">
      <w:pPr>
        <w:spacing w:after="0" w:line="240" w:lineRule="auto"/>
        <w:ind w:left="786" w:right="413"/>
        <w:rPr>
          <w:rFonts w:ascii="Arial" w:eastAsia="Times New Roman" w:hAnsi="Arial" w:cs="Arial"/>
          <w:sz w:val="24"/>
          <w:szCs w:val="20"/>
        </w:rPr>
      </w:pPr>
    </w:p>
    <w:p w14:paraId="53769F1B" w14:textId="1595FBCC" w:rsidR="00AE05EF" w:rsidRPr="00AE05EF" w:rsidRDefault="00FE32B6" w:rsidP="00AE05EF">
      <w:pPr>
        <w:spacing w:after="0" w:line="240" w:lineRule="auto"/>
        <w:ind w:left="786" w:right="413"/>
        <w:rPr>
          <w:rFonts w:ascii="Arial" w:eastAsia="Times New Roman" w:hAnsi="Arial" w:cs="Arial"/>
          <w:sz w:val="24"/>
          <w:szCs w:val="20"/>
        </w:rPr>
      </w:pPr>
      <w:r>
        <w:rPr>
          <w:rFonts w:ascii="Arial" w:eastAsia="Times New Roman" w:hAnsi="Arial" w:cs="Arial"/>
          <w:sz w:val="24"/>
          <w:szCs w:val="20"/>
        </w:rPr>
        <w:t>7</w:t>
      </w:r>
      <w:r w:rsidR="00AE05EF" w:rsidRPr="00AE05EF">
        <w:rPr>
          <w:rFonts w:ascii="Arial" w:eastAsia="Times New Roman" w:hAnsi="Arial" w:cs="Arial"/>
          <w:sz w:val="24"/>
          <w:szCs w:val="20"/>
        </w:rPr>
        <w:t>.3 Mr Commissioner (now Judge) Jacobs held in CDLA/2466/2007 (at [35])</w:t>
      </w:r>
    </w:p>
    <w:p w14:paraId="08C2A1AF" w14:textId="77777777" w:rsidR="00AE05EF" w:rsidRPr="00AE05EF" w:rsidRDefault="00AE05EF" w:rsidP="00AE05EF">
      <w:pPr>
        <w:spacing w:after="0" w:line="240" w:lineRule="auto"/>
        <w:ind w:left="786" w:right="413"/>
        <w:rPr>
          <w:rFonts w:ascii="Arial" w:eastAsia="Times New Roman" w:hAnsi="Arial" w:cs="Arial"/>
          <w:sz w:val="24"/>
          <w:szCs w:val="20"/>
        </w:rPr>
      </w:pPr>
    </w:p>
    <w:p w14:paraId="2DC16601" w14:textId="77777777" w:rsidR="00AE05EF" w:rsidRPr="00AE05EF" w:rsidRDefault="00AE05EF" w:rsidP="00AE05EF">
      <w:pPr>
        <w:spacing w:after="0" w:line="240" w:lineRule="auto"/>
        <w:ind w:left="1701" w:right="838"/>
        <w:rPr>
          <w:rFonts w:ascii="Arial" w:eastAsia="Times New Roman" w:hAnsi="Arial" w:cs="Arial"/>
          <w:sz w:val="24"/>
          <w:szCs w:val="20"/>
        </w:rPr>
      </w:pPr>
      <w:r w:rsidRPr="00AE05EF">
        <w:rPr>
          <w:rFonts w:ascii="Arial" w:eastAsia="Times New Roman" w:hAnsi="Arial" w:cs="Arial"/>
          <w:sz w:val="24"/>
          <w:szCs w:val="20"/>
        </w:rPr>
        <w:t xml:space="preserve"> The tribunal has to decide whether the factual basis of the opinion was correct. To the extent that it was not and the difference is significant, the value of the opinion is undermined. If the tribunal accepts the factual basis as correct, the tribunal must decide whether to accept the opinion. In doing so, it will be relevant to know the professional background of the disability analyst. The tribunal may accept that they have all been trained and approved. But that training is supplementary to the analyst’s professional training. It cannot turn a doctor into an occupational therapist or a physiotherapist into a doctor. And the professional background may be relevant to assessing the opinion given. To take some obvious examples, an occupational therapist’s opinion on the aids that would assist a claimant may be more useful than that of a doctor, while a doctor’s opinion on the risks of injury during an epileptic seizure may be more useful than those of a physiotherapist. (In practice, I suspect that the matters referred may depend on the particular’s analyst background.) Accordingly, the tribunal will not be able to place much, if any reliance, on an opinion given by an analyst whose primary area of experience and expertise is not known</w:t>
      </w:r>
    </w:p>
    <w:p w14:paraId="6F730D60" w14:textId="77777777" w:rsidR="00AE05EF" w:rsidRPr="00AE05EF" w:rsidRDefault="00AE05EF" w:rsidP="00AE05EF">
      <w:pPr>
        <w:spacing w:after="0" w:line="240" w:lineRule="auto"/>
        <w:ind w:left="786" w:right="413"/>
        <w:rPr>
          <w:rFonts w:ascii="Arial" w:eastAsia="Times New Roman" w:hAnsi="Arial" w:cs="Arial"/>
          <w:sz w:val="24"/>
          <w:szCs w:val="20"/>
        </w:rPr>
      </w:pPr>
    </w:p>
    <w:p w14:paraId="2BD513FD" w14:textId="5A01DAF4" w:rsidR="00AE05EF" w:rsidRPr="00AE05EF" w:rsidRDefault="00FE32B6" w:rsidP="00AE05EF">
      <w:pPr>
        <w:spacing w:after="0" w:line="240" w:lineRule="auto"/>
        <w:ind w:left="1276" w:right="413" w:hanging="490"/>
        <w:rPr>
          <w:rFonts w:ascii="Arial" w:eastAsia="Times New Roman" w:hAnsi="Arial" w:cs="Arial"/>
          <w:sz w:val="24"/>
          <w:szCs w:val="20"/>
        </w:rPr>
      </w:pPr>
      <w:r>
        <w:rPr>
          <w:rFonts w:ascii="Arial" w:eastAsia="Times New Roman" w:hAnsi="Arial" w:cs="Arial"/>
          <w:sz w:val="24"/>
          <w:szCs w:val="20"/>
        </w:rPr>
        <w:t>7</w:t>
      </w:r>
      <w:r w:rsidR="00AE05EF" w:rsidRPr="00AE05EF">
        <w:rPr>
          <w:rFonts w:ascii="Arial" w:eastAsia="Times New Roman" w:hAnsi="Arial" w:cs="Arial"/>
          <w:sz w:val="24"/>
          <w:szCs w:val="20"/>
        </w:rPr>
        <w:t>.4</w:t>
      </w:r>
      <w:r w:rsidR="00AE05EF" w:rsidRPr="00AE05EF">
        <w:rPr>
          <w:rFonts w:ascii="Arial" w:eastAsia="Times New Roman" w:hAnsi="Arial" w:cs="Arial"/>
          <w:sz w:val="24"/>
          <w:szCs w:val="20"/>
        </w:rPr>
        <w:tab/>
        <w:t xml:space="preserve"> A Three Judge Panel (3JP) considered the issue in in [2015] AACR 23, but there is I submit nothing in the decision that would detract from what Judge Jacobs held in CDLA/2466/2007. (or for that matter what Judge Mark held in JH) Indeed, the 3JP held (at [ 38)]:</w:t>
      </w:r>
    </w:p>
    <w:p w14:paraId="286C8AFB" w14:textId="77777777" w:rsidR="00AE05EF" w:rsidRPr="00AE05EF" w:rsidRDefault="00AE05EF" w:rsidP="00AE05EF">
      <w:pPr>
        <w:spacing w:after="0" w:line="240" w:lineRule="auto"/>
        <w:ind w:left="786" w:right="413"/>
        <w:rPr>
          <w:rFonts w:ascii="Arial" w:eastAsia="Times New Roman" w:hAnsi="Arial" w:cs="Arial"/>
          <w:sz w:val="24"/>
          <w:szCs w:val="20"/>
        </w:rPr>
      </w:pPr>
    </w:p>
    <w:p w14:paraId="671C9041" w14:textId="7C1FF976" w:rsidR="00AE05EF" w:rsidRDefault="00AE05EF" w:rsidP="00AE05EF">
      <w:pPr>
        <w:spacing w:after="0" w:line="240" w:lineRule="auto"/>
        <w:ind w:left="1701" w:right="1122"/>
        <w:rPr>
          <w:rFonts w:ascii="Arial" w:eastAsia="Times New Roman" w:hAnsi="Arial" w:cs="Arial"/>
          <w:sz w:val="24"/>
          <w:szCs w:val="20"/>
        </w:rPr>
      </w:pPr>
      <w:r w:rsidRPr="00AE05EF">
        <w:rPr>
          <w:rFonts w:ascii="Arial" w:eastAsia="Times New Roman" w:hAnsi="Arial" w:cs="Arial"/>
          <w:sz w:val="24"/>
          <w:szCs w:val="20"/>
        </w:rPr>
        <w:t>38 .In a assessing the weight to be given to any report addressing the functional impact of any medical condition on a claimant, a First-tier Tribunal should consider (a) the level of the author’s expertise (for example, an HCP or a consultant psychiatrist) and (b) the knowledge of the claimant possessed by the author (for example, knowledge gained from a one-off assessment or that gained as a treating clinician). Additionally, the date of the evidence, its comprehensiveness, and its relevance to the issues the tribunal has to determine are also key matters for the tribunal to consider. Importantly the tribunal should explain its reasoning for attaching weight to one type or piece of evidence rather than to another</w:t>
      </w:r>
    </w:p>
    <w:p w14:paraId="71B22B7C" w14:textId="5B3B2B8E" w:rsidR="00CB52DA" w:rsidRDefault="00CB52DA" w:rsidP="00AE05EF">
      <w:pPr>
        <w:spacing w:after="0" w:line="240" w:lineRule="auto"/>
        <w:ind w:left="1701" w:right="1122"/>
        <w:rPr>
          <w:rFonts w:ascii="Arial" w:eastAsia="Times New Roman" w:hAnsi="Arial" w:cs="Arial"/>
          <w:sz w:val="24"/>
          <w:szCs w:val="20"/>
        </w:rPr>
      </w:pPr>
    </w:p>
    <w:p w14:paraId="500D1AC2" w14:textId="30F58137" w:rsidR="005B13F2" w:rsidRPr="005B13F2" w:rsidRDefault="005B13F2" w:rsidP="005370D7">
      <w:pPr>
        <w:numPr>
          <w:ilvl w:val="0"/>
          <w:numId w:val="17"/>
        </w:numPr>
        <w:spacing w:after="0" w:line="240" w:lineRule="auto"/>
        <w:ind w:left="567" w:right="130"/>
        <w:rPr>
          <w:rFonts w:ascii="Arial" w:eastAsia="Times New Roman" w:hAnsi="Arial" w:cs="Arial"/>
          <w:bCs/>
          <w:sz w:val="24"/>
          <w:szCs w:val="20"/>
        </w:rPr>
      </w:pPr>
      <w:r>
        <w:rPr>
          <w:rFonts w:ascii="Arial" w:eastAsia="Times New Roman" w:hAnsi="Arial" w:cs="Arial"/>
          <w:sz w:val="24"/>
          <w:szCs w:val="24"/>
        </w:rPr>
        <w:t xml:space="preserve"> </w:t>
      </w:r>
      <w:r w:rsidRPr="005B13F2">
        <w:rPr>
          <w:rFonts w:ascii="Arial" w:eastAsia="Times New Roman" w:hAnsi="Arial" w:cs="Arial"/>
          <w:bCs/>
          <w:sz w:val="24"/>
          <w:szCs w:val="20"/>
        </w:rPr>
        <w:t>The HCP who carried out the PIP assessment reported (</w:t>
      </w:r>
      <w:r w:rsidRPr="005B13F2">
        <w:rPr>
          <w:rFonts w:ascii="Arial" w:eastAsia="Times New Roman" w:hAnsi="Arial" w:cs="Arial"/>
          <w:b/>
          <w:sz w:val="24"/>
          <w:szCs w:val="20"/>
        </w:rPr>
        <w:t>p</w:t>
      </w:r>
      <w:r w:rsidR="00AC0F6F">
        <w:rPr>
          <w:rFonts w:ascii="Arial" w:eastAsia="Times New Roman" w:hAnsi="Arial" w:cs="Arial"/>
          <w:b/>
          <w:sz w:val="24"/>
          <w:szCs w:val="20"/>
        </w:rPr>
        <w:t>49</w:t>
      </w:r>
      <w:r w:rsidRPr="005B13F2">
        <w:rPr>
          <w:rFonts w:ascii="Arial" w:eastAsia="Times New Roman" w:hAnsi="Arial" w:cs="Arial"/>
          <w:b/>
          <w:sz w:val="24"/>
          <w:szCs w:val="20"/>
        </w:rPr>
        <w:t xml:space="preserve"> of the bundle</w:t>
      </w:r>
      <w:r w:rsidRPr="005B13F2">
        <w:rPr>
          <w:rFonts w:ascii="Arial" w:eastAsia="Times New Roman" w:hAnsi="Arial" w:cs="Arial"/>
          <w:bCs/>
          <w:sz w:val="24"/>
          <w:szCs w:val="20"/>
        </w:rPr>
        <w:t xml:space="preserve">) that Mr </w:t>
      </w:r>
      <w:r w:rsidR="00394A17">
        <w:rPr>
          <w:rFonts w:ascii="Arial" w:eastAsia="Times New Roman" w:hAnsi="Arial" w:cs="Arial"/>
          <w:bCs/>
          <w:sz w:val="24"/>
          <w:szCs w:val="20"/>
        </w:rPr>
        <w:t>X</w:t>
      </w:r>
      <w:r w:rsidRPr="005B13F2">
        <w:rPr>
          <w:rFonts w:ascii="Arial" w:eastAsia="Times New Roman" w:hAnsi="Arial" w:cs="Arial"/>
          <w:bCs/>
          <w:sz w:val="24"/>
          <w:szCs w:val="20"/>
        </w:rPr>
        <w:t xml:space="preserve"> was</w:t>
      </w:r>
      <w:r w:rsidR="00AC0F6F">
        <w:rPr>
          <w:rFonts w:ascii="Arial" w:eastAsia="Times New Roman" w:hAnsi="Arial" w:cs="Arial"/>
          <w:bCs/>
          <w:sz w:val="24"/>
          <w:szCs w:val="20"/>
        </w:rPr>
        <w:t>”</w:t>
      </w:r>
      <w:r w:rsidRPr="005B13F2">
        <w:rPr>
          <w:rFonts w:ascii="Arial" w:eastAsia="Times New Roman" w:hAnsi="Arial" w:cs="Arial"/>
          <w:bCs/>
          <w:sz w:val="24"/>
          <w:szCs w:val="20"/>
        </w:rPr>
        <w:t xml:space="preserve"> </w:t>
      </w:r>
      <w:r w:rsidR="00AC0F6F">
        <w:rPr>
          <w:rFonts w:ascii="Arial" w:eastAsia="Times New Roman" w:hAnsi="Arial" w:cs="Arial"/>
          <w:bCs/>
          <w:sz w:val="24"/>
          <w:szCs w:val="20"/>
        </w:rPr>
        <w:t>well nourished”</w:t>
      </w:r>
      <w:r w:rsidRPr="005B13F2">
        <w:rPr>
          <w:rFonts w:ascii="Arial" w:eastAsia="Times New Roman" w:hAnsi="Arial" w:cs="Arial"/>
          <w:bCs/>
          <w:sz w:val="24"/>
          <w:szCs w:val="20"/>
        </w:rPr>
        <w:t>”</w:t>
      </w:r>
    </w:p>
    <w:p w14:paraId="21C8662F" w14:textId="77777777" w:rsidR="005B13F2" w:rsidRPr="005B13F2" w:rsidRDefault="005B13F2" w:rsidP="005B13F2">
      <w:pPr>
        <w:spacing w:after="0" w:line="240" w:lineRule="auto"/>
        <w:ind w:left="720"/>
        <w:rPr>
          <w:rFonts w:ascii="Arial" w:eastAsia="Times New Roman" w:hAnsi="Arial" w:cs="Arial"/>
          <w:bCs/>
          <w:sz w:val="24"/>
          <w:szCs w:val="20"/>
        </w:rPr>
      </w:pPr>
    </w:p>
    <w:p w14:paraId="6BD64078" w14:textId="003C90A0" w:rsidR="005B13F2" w:rsidRPr="005B13F2" w:rsidRDefault="00FE32B6" w:rsidP="005370D7">
      <w:pPr>
        <w:spacing w:after="0" w:line="240" w:lineRule="auto"/>
        <w:ind w:left="1134" w:right="1122"/>
        <w:rPr>
          <w:rFonts w:ascii="Arial" w:eastAsia="Times New Roman" w:hAnsi="Arial" w:cs="Arial"/>
          <w:sz w:val="24"/>
          <w:szCs w:val="20"/>
        </w:rPr>
      </w:pPr>
      <w:r>
        <w:rPr>
          <w:rFonts w:ascii="Arial" w:eastAsia="Times New Roman" w:hAnsi="Arial" w:cs="Arial"/>
          <w:sz w:val="24"/>
          <w:szCs w:val="20"/>
        </w:rPr>
        <w:t>8</w:t>
      </w:r>
      <w:r w:rsidR="005B13F2" w:rsidRPr="005B13F2">
        <w:rPr>
          <w:rFonts w:ascii="Arial" w:eastAsia="Times New Roman" w:hAnsi="Arial" w:cs="Arial"/>
          <w:sz w:val="24"/>
          <w:szCs w:val="20"/>
        </w:rPr>
        <w:t>.</w:t>
      </w:r>
      <w:r w:rsidR="00AC0F6F">
        <w:rPr>
          <w:rFonts w:ascii="Arial" w:eastAsia="Times New Roman" w:hAnsi="Arial" w:cs="Arial"/>
          <w:sz w:val="24"/>
          <w:szCs w:val="20"/>
        </w:rPr>
        <w:t>1</w:t>
      </w:r>
      <w:r w:rsidR="005B13F2" w:rsidRPr="005B13F2">
        <w:rPr>
          <w:rFonts w:ascii="Arial" w:eastAsia="Times New Roman" w:hAnsi="Arial" w:cs="Arial"/>
          <w:sz w:val="24"/>
          <w:szCs w:val="20"/>
        </w:rPr>
        <w:t xml:space="preserve"> The HCP has not been helpful because she did not measure Mr </w:t>
      </w:r>
      <w:r w:rsidR="00394A17">
        <w:rPr>
          <w:rFonts w:ascii="Arial" w:eastAsia="Times New Roman" w:hAnsi="Arial" w:cs="Arial"/>
          <w:sz w:val="24"/>
          <w:szCs w:val="20"/>
        </w:rPr>
        <w:t>X</w:t>
      </w:r>
      <w:r w:rsidR="005B13F2" w:rsidRPr="005B13F2">
        <w:rPr>
          <w:rFonts w:ascii="Arial" w:eastAsia="Times New Roman" w:hAnsi="Arial" w:cs="Arial"/>
          <w:sz w:val="24"/>
          <w:szCs w:val="20"/>
        </w:rPr>
        <w:t>’s height, or weight, even though the assessment was carried out at an assessment centre.</w:t>
      </w:r>
    </w:p>
    <w:p w14:paraId="15743BA6" w14:textId="77777777" w:rsidR="005B13F2" w:rsidRPr="005B13F2" w:rsidRDefault="005B13F2" w:rsidP="005370D7">
      <w:pPr>
        <w:spacing w:after="0" w:line="240" w:lineRule="auto"/>
        <w:ind w:left="1134" w:right="1122"/>
        <w:rPr>
          <w:rFonts w:ascii="Arial" w:eastAsia="Times New Roman" w:hAnsi="Arial" w:cs="Arial"/>
          <w:sz w:val="24"/>
          <w:szCs w:val="20"/>
        </w:rPr>
      </w:pPr>
    </w:p>
    <w:p w14:paraId="2721131E" w14:textId="7A1917BB" w:rsidR="005B13F2" w:rsidRPr="00AC0F6F" w:rsidRDefault="005B13F2" w:rsidP="005370D7">
      <w:pPr>
        <w:pStyle w:val="ListParagraph"/>
        <w:numPr>
          <w:ilvl w:val="1"/>
          <w:numId w:val="17"/>
        </w:numPr>
        <w:spacing w:after="0" w:line="240" w:lineRule="auto"/>
        <w:ind w:left="1134" w:right="1122"/>
        <w:rPr>
          <w:rFonts w:ascii="Arial" w:eastAsia="Times New Roman" w:hAnsi="Arial" w:cs="Arial"/>
          <w:sz w:val="24"/>
          <w:szCs w:val="20"/>
        </w:rPr>
      </w:pPr>
      <w:r w:rsidRPr="00AC0F6F">
        <w:rPr>
          <w:rFonts w:ascii="Arial" w:eastAsia="Times New Roman" w:hAnsi="Arial" w:cs="Arial"/>
          <w:sz w:val="24"/>
          <w:szCs w:val="20"/>
        </w:rPr>
        <w:t xml:space="preserve">The HCP does purport (for example) to have accurately measured Mr </w:t>
      </w:r>
      <w:r w:rsidR="00394A17">
        <w:rPr>
          <w:rFonts w:ascii="Arial" w:eastAsia="Times New Roman" w:hAnsi="Arial" w:cs="Arial"/>
          <w:sz w:val="24"/>
          <w:szCs w:val="20"/>
        </w:rPr>
        <w:t>X</w:t>
      </w:r>
      <w:r w:rsidRPr="00AC0F6F">
        <w:rPr>
          <w:rFonts w:ascii="Arial" w:eastAsia="Times New Roman" w:hAnsi="Arial" w:cs="Arial"/>
          <w:sz w:val="24"/>
          <w:szCs w:val="20"/>
        </w:rPr>
        <w:t xml:space="preserve">’s shoulder abduction (170 degrees).  I simply ask whether the HCP used a protractor to measure the angle of Mr </w:t>
      </w:r>
      <w:r w:rsidR="00394A17">
        <w:rPr>
          <w:rFonts w:ascii="Arial" w:eastAsia="Times New Roman" w:hAnsi="Arial" w:cs="Arial"/>
          <w:sz w:val="24"/>
          <w:szCs w:val="20"/>
        </w:rPr>
        <w:t>X</w:t>
      </w:r>
      <w:r w:rsidRPr="00AC0F6F">
        <w:rPr>
          <w:rFonts w:ascii="Arial" w:eastAsia="Times New Roman" w:hAnsi="Arial" w:cs="Arial"/>
          <w:sz w:val="24"/>
          <w:szCs w:val="20"/>
        </w:rPr>
        <w:t xml:space="preserve">’s shoulder abduction but on the other hand did not have a set of scales or a tape measure to measure Mr </w:t>
      </w:r>
      <w:r w:rsidR="00394A17">
        <w:rPr>
          <w:rFonts w:ascii="Arial" w:eastAsia="Times New Roman" w:hAnsi="Arial" w:cs="Arial"/>
          <w:sz w:val="24"/>
          <w:szCs w:val="20"/>
        </w:rPr>
        <w:t>X</w:t>
      </w:r>
      <w:r w:rsidRPr="00AC0F6F">
        <w:rPr>
          <w:rFonts w:ascii="Arial" w:eastAsia="Times New Roman" w:hAnsi="Arial" w:cs="Arial"/>
          <w:sz w:val="24"/>
          <w:szCs w:val="20"/>
        </w:rPr>
        <w:t xml:space="preserve">’s waist or had the means to measure Mr </w:t>
      </w:r>
      <w:r w:rsidR="00394A17">
        <w:rPr>
          <w:rFonts w:ascii="Arial" w:eastAsia="Times New Roman" w:hAnsi="Arial" w:cs="Arial"/>
          <w:sz w:val="24"/>
          <w:szCs w:val="20"/>
        </w:rPr>
        <w:t>X</w:t>
      </w:r>
      <w:r w:rsidRPr="00AC0F6F">
        <w:rPr>
          <w:rFonts w:ascii="Arial" w:eastAsia="Times New Roman" w:hAnsi="Arial" w:cs="Arial"/>
          <w:sz w:val="24"/>
          <w:szCs w:val="20"/>
        </w:rPr>
        <w:t>’s height.</w:t>
      </w:r>
    </w:p>
    <w:p w14:paraId="3AE72823" w14:textId="77777777" w:rsidR="005B13F2" w:rsidRPr="005B13F2" w:rsidRDefault="005B13F2" w:rsidP="005370D7">
      <w:pPr>
        <w:spacing w:after="0" w:line="240" w:lineRule="auto"/>
        <w:ind w:left="1134" w:right="1122"/>
        <w:rPr>
          <w:rFonts w:ascii="Arial" w:eastAsia="Times New Roman" w:hAnsi="Arial" w:cs="Arial"/>
          <w:sz w:val="24"/>
          <w:szCs w:val="20"/>
        </w:rPr>
      </w:pPr>
    </w:p>
    <w:p w14:paraId="50FB9012" w14:textId="641982C9" w:rsidR="005B13F2" w:rsidRPr="005B13F2" w:rsidRDefault="005B13F2" w:rsidP="005370D7">
      <w:pPr>
        <w:numPr>
          <w:ilvl w:val="1"/>
          <w:numId w:val="17"/>
        </w:numPr>
        <w:spacing w:after="0" w:line="240" w:lineRule="auto"/>
        <w:ind w:left="1134" w:right="1122"/>
        <w:rPr>
          <w:rFonts w:ascii="Arial" w:eastAsia="Times New Roman" w:hAnsi="Arial" w:cs="Arial"/>
          <w:sz w:val="24"/>
          <w:szCs w:val="20"/>
        </w:rPr>
      </w:pPr>
      <w:r w:rsidRPr="005B13F2">
        <w:rPr>
          <w:rFonts w:ascii="Arial" w:eastAsia="Times New Roman" w:hAnsi="Arial" w:cs="Arial"/>
          <w:sz w:val="24"/>
          <w:szCs w:val="20"/>
        </w:rPr>
        <w:t>It is arguable that HCP’s should not be using vague terminology such as “</w:t>
      </w:r>
      <w:r w:rsidR="00AC0F6F">
        <w:rPr>
          <w:rFonts w:ascii="Arial" w:eastAsia="Times New Roman" w:hAnsi="Arial" w:cs="Arial"/>
          <w:sz w:val="24"/>
          <w:szCs w:val="20"/>
        </w:rPr>
        <w:t>well nourished</w:t>
      </w:r>
      <w:r w:rsidRPr="005B13F2">
        <w:rPr>
          <w:rFonts w:ascii="Arial" w:eastAsia="Times New Roman" w:hAnsi="Arial" w:cs="Arial"/>
          <w:sz w:val="24"/>
          <w:szCs w:val="20"/>
        </w:rPr>
        <w:t xml:space="preserve"> “without defining what is meant by such </w:t>
      </w:r>
      <w:r w:rsidR="00FE32B6" w:rsidRPr="005B13F2">
        <w:rPr>
          <w:rFonts w:ascii="Arial" w:eastAsia="Times New Roman" w:hAnsi="Arial" w:cs="Arial"/>
          <w:sz w:val="24"/>
          <w:szCs w:val="20"/>
        </w:rPr>
        <w:t>terms</w:t>
      </w:r>
    </w:p>
    <w:p w14:paraId="5DD2D5B5" w14:textId="77777777" w:rsidR="005B13F2" w:rsidRPr="005B13F2" w:rsidRDefault="005B13F2" w:rsidP="005370D7">
      <w:pPr>
        <w:spacing w:after="0" w:line="240" w:lineRule="auto"/>
        <w:ind w:left="1134"/>
        <w:rPr>
          <w:rFonts w:ascii="Arial" w:eastAsia="Times New Roman" w:hAnsi="Arial" w:cs="Arial"/>
          <w:sz w:val="24"/>
          <w:szCs w:val="20"/>
        </w:rPr>
      </w:pPr>
    </w:p>
    <w:p w14:paraId="71E26F72" w14:textId="6E66D851" w:rsidR="005B13F2" w:rsidRPr="00A42F4E" w:rsidRDefault="00FE32B6" w:rsidP="005370D7">
      <w:pPr>
        <w:numPr>
          <w:ilvl w:val="1"/>
          <w:numId w:val="17"/>
        </w:numPr>
        <w:spacing w:after="0" w:line="240" w:lineRule="auto"/>
        <w:ind w:left="1134" w:right="1122"/>
        <w:rPr>
          <w:rFonts w:ascii="Arial" w:eastAsia="Times New Roman" w:hAnsi="Arial" w:cs="Arial"/>
          <w:sz w:val="24"/>
          <w:szCs w:val="20"/>
        </w:rPr>
      </w:pPr>
      <w:r>
        <w:rPr>
          <w:rFonts w:ascii="Arial" w:eastAsia="Times New Roman" w:hAnsi="Arial" w:cs="Arial"/>
          <w:sz w:val="24"/>
          <w:szCs w:val="20"/>
        </w:rPr>
        <w:t xml:space="preserve">Mr </w:t>
      </w:r>
      <w:r w:rsidR="00394A17">
        <w:rPr>
          <w:rFonts w:ascii="Arial" w:eastAsia="Times New Roman" w:hAnsi="Arial" w:cs="Arial"/>
          <w:sz w:val="24"/>
          <w:szCs w:val="20"/>
        </w:rPr>
        <w:t>X</w:t>
      </w:r>
      <w:r>
        <w:rPr>
          <w:rFonts w:ascii="Arial" w:eastAsia="Times New Roman" w:hAnsi="Arial" w:cs="Arial"/>
          <w:sz w:val="24"/>
          <w:szCs w:val="20"/>
        </w:rPr>
        <w:t xml:space="preserve"> is </w:t>
      </w:r>
      <w:r w:rsidR="00A42F4E">
        <w:rPr>
          <w:rFonts w:ascii="Arial" w:eastAsia="Times New Roman" w:hAnsi="Arial" w:cs="Arial"/>
          <w:sz w:val="24"/>
          <w:szCs w:val="20"/>
        </w:rPr>
        <w:t>5</w:t>
      </w:r>
      <w:r>
        <w:rPr>
          <w:rFonts w:ascii="Arial" w:eastAsia="Times New Roman" w:hAnsi="Arial" w:cs="Arial"/>
          <w:sz w:val="24"/>
          <w:szCs w:val="20"/>
        </w:rPr>
        <w:t>’10” (177.8cm) tall and weighs 9st (</w:t>
      </w:r>
      <w:r w:rsidR="00A42F4E">
        <w:rPr>
          <w:rFonts w:ascii="Arial" w:eastAsia="Times New Roman" w:hAnsi="Arial" w:cs="Arial"/>
          <w:sz w:val="24"/>
          <w:szCs w:val="20"/>
        </w:rPr>
        <w:t>57.27Kg) His</w:t>
      </w:r>
      <w:r w:rsidR="008424DF">
        <w:rPr>
          <w:rFonts w:ascii="Arial" w:eastAsia="Times New Roman" w:hAnsi="Arial" w:cs="Arial"/>
          <w:sz w:val="24"/>
          <w:szCs w:val="20"/>
        </w:rPr>
        <w:t xml:space="preserve"> Body Mass Index (</w:t>
      </w:r>
      <w:r w:rsidR="00A42F4E">
        <w:rPr>
          <w:rFonts w:ascii="Arial" w:eastAsia="Times New Roman" w:hAnsi="Arial" w:cs="Arial"/>
          <w:sz w:val="24"/>
          <w:szCs w:val="20"/>
        </w:rPr>
        <w:t>BMI</w:t>
      </w:r>
      <w:r w:rsidR="008424DF">
        <w:rPr>
          <w:rFonts w:ascii="Arial" w:eastAsia="Times New Roman" w:hAnsi="Arial" w:cs="Arial"/>
          <w:sz w:val="24"/>
          <w:szCs w:val="20"/>
        </w:rPr>
        <w:t xml:space="preserve">) </w:t>
      </w:r>
      <w:r w:rsidR="00A42F4E">
        <w:rPr>
          <w:rFonts w:ascii="Arial" w:eastAsia="Times New Roman" w:hAnsi="Arial" w:cs="Arial"/>
          <w:sz w:val="24"/>
          <w:szCs w:val="20"/>
        </w:rPr>
        <w:t xml:space="preserve"> is therefore 18.1Kg/m</w:t>
      </w:r>
      <w:r w:rsidR="00A42F4E" w:rsidRPr="00A42F4E">
        <w:rPr>
          <w:rFonts w:ascii="Arial" w:eastAsia="Times New Roman" w:hAnsi="Arial" w:cs="Arial"/>
          <w:sz w:val="24"/>
          <w:szCs w:val="20"/>
          <w:vertAlign w:val="superscript"/>
        </w:rPr>
        <w:t>2</w:t>
      </w:r>
      <w:r w:rsidR="00AC0F6F">
        <w:rPr>
          <w:rFonts w:ascii="Arial" w:eastAsia="Times New Roman" w:hAnsi="Arial" w:cs="Arial"/>
          <w:sz w:val="24"/>
          <w:szCs w:val="20"/>
          <w:vertAlign w:val="superscript"/>
        </w:rPr>
        <w:t xml:space="preserve">  </w:t>
      </w:r>
      <w:r w:rsidR="00AC0F6F">
        <w:rPr>
          <w:rFonts w:ascii="Arial" w:eastAsia="Times New Roman" w:hAnsi="Arial" w:cs="Arial"/>
          <w:sz w:val="24"/>
          <w:szCs w:val="20"/>
        </w:rPr>
        <w:t xml:space="preserve">Mr </w:t>
      </w:r>
      <w:r w:rsidR="00394A17">
        <w:rPr>
          <w:rFonts w:ascii="Arial" w:eastAsia="Times New Roman" w:hAnsi="Arial" w:cs="Arial"/>
          <w:sz w:val="24"/>
          <w:szCs w:val="20"/>
        </w:rPr>
        <w:t>X</w:t>
      </w:r>
      <w:r w:rsidR="00AC0F6F">
        <w:rPr>
          <w:rFonts w:ascii="Arial" w:eastAsia="Times New Roman" w:hAnsi="Arial" w:cs="Arial"/>
          <w:sz w:val="24"/>
          <w:szCs w:val="20"/>
        </w:rPr>
        <w:t xml:space="preserve"> is underweight according to the World Health Organisation (WHO)’s criteria</w:t>
      </w:r>
      <w:r w:rsidR="00256AFE">
        <w:rPr>
          <w:rFonts w:ascii="Arial" w:eastAsia="Times New Roman" w:hAnsi="Arial" w:cs="Arial"/>
          <w:sz w:val="24"/>
          <w:szCs w:val="20"/>
        </w:rPr>
        <w:t xml:space="preserve"> (A person of Mr </w:t>
      </w:r>
      <w:r w:rsidR="00394A17">
        <w:rPr>
          <w:rFonts w:ascii="Arial" w:eastAsia="Times New Roman" w:hAnsi="Arial" w:cs="Arial"/>
          <w:sz w:val="24"/>
          <w:szCs w:val="20"/>
        </w:rPr>
        <w:t>X</w:t>
      </w:r>
      <w:r w:rsidR="00256AFE">
        <w:rPr>
          <w:rFonts w:ascii="Arial" w:eastAsia="Times New Roman" w:hAnsi="Arial" w:cs="Arial"/>
          <w:sz w:val="24"/>
          <w:szCs w:val="20"/>
        </w:rPr>
        <w:t xml:space="preserve">’s height who was only 1.9 Kg  less than Mr </w:t>
      </w:r>
      <w:r w:rsidR="00394A17">
        <w:rPr>
          <w:rFonts w:ascii="Arial" w:eastAsia="Times New Roman" w:hAnsi="Arial" w:cs="Arial"/>
          <w:sz w:val="24"/>
          <w:szCs w:val="20"/>
        </w:rPr>
        <w:t>X</w:t>
      </w:r>
      <w:r w:rsidR="00256AFE">
        <w:rPr>
          <w:rFonts w:ascii="Arial" w:eastAsia="Times New Roman" w:hAnsi="Arial" w:cs="Arial"/>
          <w:sz w:val="24"/>
          <w:szCs w:val="20"/>
        </w:rPr>
        <w:t xml:space="preserve"> (</w:t>
      </w:r>
      <w:r w:rsidR="00256AFE" w:rsidRPr="00256AFE">
        <w:rPr>
          <w:rFonts w:ascii="Arial" w:eastAsia="Times New Roman" w:hAnsi="Arial" w:cs="Arial"/>
          <w:i/>
          <w:iCs/>
          <w:sz w:val="24"/>
          <w:szCs w:val="20"/>
        </w:rPr>
        <w:t>i.e who weighed no more than 55.37Kg</w:t>
      </w:r>
      <w:r w:rsidR="00256AFE">
        <w:rPr>
          <w:rFonts w:ascii="Arial" w:eastAsia="Times New Roman" w:hAnsi="Arial" w:cs="Arial"/>
          <w:sz w:val="24"/>
          <w:szCs w:val="20"/>
        </w:rPr>
        <w:t>) may well meet the criteria to be treated for anorexia</w:t>
      </w:r>
    </w:p>
    <w:p w14:paraId="418E6C62" w14:textId="77777777" w:rsidR="00A42F4E" w:rsidRDefault="00A42F4E" w:rsidP="005370D7">
      <w:pPr>
        <w:pStyle w:val="ListParagraph"/>
        <w:ind w:left="1134"/>
        <w:rPr>
          <w:rFonts w:ascii="Arial" w:eastAsia="Times New Roman" w:hAnsi="Arial" w:cs="Arial"/>
          <w:sz w:val="24"/>
          <w:szCs w:val="20"/>
        </w:rPr>
      </w:pPr>
    </w:p>
    <w:p w14:paraId="547C59D0" w14:textId="713A920B" w:rsidR="00A42F4E" w:rsidRDefault="00A42F4E" w:rsidP="005370D7">
      <w:pPr>
        <w:numPr>
          <w:ilvl w:val="1"/>
          <w:numId w:val="17"/>
        </w:numPr>
        <w:spacing w:after="0" w:line="240" w:lineRule="auto"/>
        <w:ind w:left="1134" w:right="1122"/>
        <w:rPr>
          <w:rFonts w:ascii="Arial" w:eastAsia="Times New Roman" w:hAnsi="Arial" w:cs="Arial"/>
          <w:sz w:val="24"/>
          <w:szCs w:val="20"/>
        </w:rPr>
      </w:pPr>
      <w:r>
        <w:rPr>
          <w:rFonts w:ascii="Arial" w:eastAsia="Times New Roman" w:hAnsi="Arial" w:cs="Arial"/>
          <w:sz w:val="24"/>
          <w:szCs w:val="20"/>
        </w:rPr>
        <w:t xml:space="preserve">The HCP has clearly grossly over estimated Mr </w:t>
      </w:r>
      <w:r w:rsidR="00394A17">
        <w:rPr>
          <w:rFonts w:ascii="Arial" w:eastAsia="Times New Roman" w:hAnsi="Arial" w:cs="Arial"/>
          <w:sz w:val="24"/>
          <w:szCs w:val="20"/>
        </w:rPr>
        <w:t>X</w:t>
      </w:r>
      <w:r>
        <w:rPr>
          <w:rFonts w:ascii="Arial" w:eastAsia="Times New Roman" w:hAnsi="Arial" w:cs="Arial"/>
          <w:sz w:val="24"/>
          <w:szCs w:val="20"/>
        </w:rPr>
        <w:t xml:space="preserve">’s weight </w:t>
      </w:r>
    </w:p>
    <w:p w14:paraId="69EC57B1" w14:textId="77777777" w:rsidR="00A42F4E" w:rsidRDefault="00A42F4E" w:rsidP="005370D7">
      <w:pPr>
        <w:pStyle w:val="ListParagraph"/>
        <w:ind w:left="1134"/>
        <w:rPr>
          <w:rFonts w:ascii="Arial" w:eastAsia="Times New Roman" w:hAnsi="Arial" w:cs="Arial"/>
          <w:sz w:val="24"/>
          <w:szCs w:val="20"/>
        </w:rPr>
      </w:pPr>
    </w:p>
    <w:p w14:paraId="3A1359F3" w14:textId="3D9EFBDA" w:rsidR="00A42F4E" w:rsidRPr="00A259E2" w:rsidRDefault="00A42F4E" w:rsidP="005370D7">
      <w:pPr>
        <w:numPr>
          <w:ilvl w:val="1"/>
          <w:numId w:val="17"/>
        </w:numPr>
        <w:spacing w:after="0" w:line="240" w:lineRule="auto"/>
        <w:ind w:left="851" w:right="1122" w:firstLine="0"/>
        <w:rPr>
          <w:rFonts w:ascii="Arial" w:eastAsia="Times New Roman" w:hAnsi="Arial" w:cs="Arial"/>
          <w:i/>
          <w:iCs/>
          <w:sz w:val="24"/>
          <w:szCs w:val="20"/>
        </w:rPr>
      </w:pPr>
      <w:r w:rsidRPr="00A42F4E">
        <w:rPr>
          <w:rFonts w:ascii="Arial" w:eastAsia="Times New Roman" w:hAnsi="Arial" w:cs="Arial"/>
          <w:sz w:val="24"/>
          <w:szCs w:val="20"/>
        </w:rPr>
        <w:t xml:space="preserve"> </w:t>
      </w:r>
      <w:r w:rsidRPr="00A42F4E">
        <w:rPr>
          <w:rFonts w:ascii="Arial" w:eastAsia="Times New Roman" w:hAnsi="Arial" w:cs="Arial"/>
          <w:b/>
          <w:bCs/>
          <w:sz w:val="24"/>
          <w:szCs w:val="20"/>
        </w:rPr>
        <w:t xml:space="preserve">I suggest that this gross inaccuracy undermines the credibility of the whole report and that </w:t>
      </w:r>
      <w:r w:rsidRPr="00366A84">
        <w:rPr>
          <w:rFonts w:ascii="Arial" w:eastAsia="Times New Roman" w:hAnsi="Arial" w:cs="Arial"/>
          <w:sz w:val="24"/>
          <w:szCs w:val="20"/>
        </w:rPr>
        <w:t>(</w:t>
      </w:r>
      <w:r w:rsidRPr="00A42F4E">
        <w:rPr>
          <w:rFonts w:ascii="Arial" w:eastAsia="Times New Roman" w:hAnsi="Arial" w:cs="Arial"/>
          <w:b/>
          <w:bCs/>
          <w:sz w:val="24"/>
          <w:szCs w:val="20"/>
        </w:rPr>
        <w:t>contrary to what the Respondent asserts at S4(5) page E of the Response where she asserts that “</w:t>
      </w:r>
      <w:r w:rsidRPr="00A42F4E">
        <w:rPr>
          <w:rFonts w:ascii="Arial" w:eastAsia="Times New Roman" w:hAnsi="Arial" w:cs="Arial"/>
          <w:i/>
          <w:iCs/>
          <w:sz w:val="24"/>
          <w:szCs w:val="20"/>
        </w:rPr>
        <w:t>There are no clinical findings and medical opinion to case doubt on the findings already accepted in the decision under appeal</w:t>
      </w:r>
      <w:r>
        <w:rPr>
          <w:rFonts w:ascii="Arial" w:eastAsia="Times New Roman" w:hAnsi="Arial" w:cs="Arial"/>
          <w:i/>
          <w:iCs/>
          <w:sz w:val="24"/>
          <w:szCs w:val="20"/>
        </w:rPr>
        <w:t>”</w:t>
      </w:r>
      <w:r>
        <w:rPr>
          <w:rFonts w:ascii="Arial" w:eastAsia="Times New Roman" w:hAnsi="Arial" w:cs="Arial"/>
          <w:sz w:val="24"/>
          <w:szCs w:val="20"/>
        </w:rPr>
        <w:t xml:space="preserve"> </w:t>
      </w:r>
      <w:r w:rsidR="00366A84">
        <w:rPr>
          <w:rFonts w:ascii="Arial" w:eastAsia="Times New Roman" w:hAnsi="Arial" w:cs="Arial"/>
          <w:sz w:val="24"/>
          <w:szCs w:val="20"/>
        </w:rPr>
        <w:t xml:space="preserve">) </w:t>
      </w:r>
      <w:r w:rsidRPr="00A42F4E">
        <w:rPr>
          <w:rFonts w:ascii="Arial" w:eastAsia="Times New Roman" w:hAnsi="Arial" w:cs="Arial"/>
          <w:b/>
          <w:bCs/>
          <w:sz w:val="24"/>
          <w:szCs w:val="20"/>
        </w:rPr>
        <w:t>a couple of simple</w:t>
      </w:r>
      <w:r>
        <w:rPr>
          <w:rFonts w:ascii="Arial" w:eastAsia="Times New Roman" w:hAnsi="Arial" w:cs="Arial"/>
          <w:b/>
          <w:bCs/>
          <w:sz w:val="24"/>
          <w:szCs w:val="20"/>
        </w:rPr>
        <w:t xml:space="preserve"> measurements cast grave doubt on those findings</w:t>
      </w:r>
    </w:p>
    <w:p w14:paraId="6A26B2BA" w14:textId="77777777" w:rsidR="00A259E2" w:rsidRDefault="00A259E2" w:rsidP="005370D7">
      <w:pPr>
        <w:pStyle w:val="ListParagraph"/>
        <w:ind w:left="851"/>
        <w:rPr>
          <w:rFonts w:ascii="Arial" w:eastAsia="Times New Roman" w:hAnsi="Arial" w:cs="Arial"/>
          <w:i/>
          <w:iCs/>
          <w:sz w:val="24"/>
          <w:szCs w:val="20"/>
        </w:rPr>
      </w:pPr>
    </w:p>
    <w:p w14:paraId="3D791BA7" w14:textId="2F9A9D39" w:rsidR="00A259E2" w:rsidRDefault="00A259E2" w:rsidP="00A259E2">
      <w:pPr>
        <w:pStyle w:val="ListParagraph"/>
        <w:numPr>
          <w:ilvl w:val="0"/>
          <w:numId w:val="17"/>
        </w:numPr>
        <w:spacing w:after="0" w:line="240" w:lineRule="auto"/>
        <w:ind w:left="709" w:right="1122" w:hanging="425"/>
        <w:rPr>
          <w:rFonts w:ascii="Arial" w:eastAsia="Times New Roman" w:hAnsi="Arial" w:cs="Arial"/>
          <w:sz w:val="24"/>
          <w:szCs w:val="20"/>
        </w:rPr>
      </w:pPr>
      <w:r>
        <w:rPr>
          <w:rFonts w:ascii="Arial" w:eastAsia="Times New Roman" w:hAnsi="Arial" w:cs="Arial"/>
          <w:sz w:val="24"/>
          <w:szCs w:val="20"/>
        </w:rPr>
        <w:t xml:space="preserve">I also note at this point that Mr </w:t>
      </w:r>
      <w:r w:rsidR="00394A17">
        <w:rPr>
          <w:rFonts w:ascii="Arial" w:eastAsia="Times New Roman" w:hAnsi="Arial" w:cs="Arial"/>
          <w:sz w:val="24"/>
          <w:szCs w:val="20"/>
        </w:rPr>
        <w:t>X</w:t>
      </w:r>
      <w:r>
        <w:rPr>
          <w:rFonts w:ascii="Arial" w:eastAsia="Times New Roman" w:hAnsi="Arial" w:cs="Arial"/>
          <w:sz w:val="24"/>
          <w:szCs w:val="20"/>
        </w:rPr>
        <w:t xml:space="preserve"> is a regular user of cannabis.  He has stated that he uses it to relieve pain, but there is some evidence to suggest that he may have developed a level of dependence on the drug.  I discuss this </w:t>
      </w:r>
      <w:r w:rsidR="00742469">
        <w:rPr>
          <w:rFonts w:ascii="Arial" w:eastAsia="Times New Roman" w:hAnsi="Arial" w:cs="Arial"/>
          <w:sz w:val="24"/>
          <w:szCs w:val="20"/>
        </w:rPr>
        <w:t>further</w:t>
      </w:r>
      <w:r>
        <w:rPr>
          <w:rFonts w:ascii="Arial" w:eastAsia="Times New Roman" w:hAnsi="Arial" w:cs="Arial"/>
          <w:sz w:val="24"/>
          <w:szCs w:val="20"/>
        </w:rPr>
        <w:t xml:space="preserve"> at [15]-[18.2] below, but for the moment I focus on the fact that cannabis is an appetite stimulant and users often describe “getting the munchies” after taking it</w:t>
      </w:r>
      <w:r w:rsidR="00742469">
        <w:rPr>
          <w:rFonts w:ascii="Arial" w:eastAsia="Times New Roman" w:hAnsi="Arial" w:cs="Arial"/>
          <w:sz w:val="24"/>
          <w:szCs w:val="20"/>
        </w:rPr>
        <w:t>.</w:t>
      </w:r>
    </w:p>
    <w:p w14:paraId="5CE506DC" w14:textId="59450DD9" w:rsidR="00742469" w:rsidRDefault="00742469" w:rsidP="00742469">
      <w:pPr>
        <w:pStyle w:val="ListParagraph"/>
        <w:spacing w:after="0" w:line="240" w:lineRule="auto"/>
        <w:ind w:left="709" w:right="1122"/>
        <w:rPr>
          <w:rFonts w:ascii="Arial" w:eastAsia="Times New Roman" w:hAnsi="Arial" w:cs="Arial"/>
          <w:sz w:val="24"/>
          <w:szCs w:val="20"/>
        </w:rPr>
      </w:pPr>
    </w:p>
    <w:p w14:paraId="49311533" w14:textId="6ADEFB3D" w:rsidR="00742469" w:rsidRPr="00A259E2" w:rsidRDefault="00742469" w:rsidP="00742469">
      <w:pPr>
        <w:pStyle w:val="ListParagraph"/>
        <w:spacing w:after="0" w:line="240" w:lineRule="auto"/>
        <w:ind w:left="709" w:right="1122"/>
        <w:rPr>
          <w:rFonts w:ascii="Arial" w:eastAsia="Times New Roman" w:hAnsi="Arial" w:cs="Arial"/>
          <w:sz w:val="24"/>
          <w:szCs w:val="20"/>
        </w:rPr>
      </w:pPr>
      <w:r>
        <w:rPr>
          <w:rFonts w:ascii="Arial" w:eastAsia="Times New Roman" w:hAnsi="Arial" w:cs="Arial"/>
          <w:sz w:val="24"/>
          <w:szCs w:val="20"/>
        </w:rPr>
        <w:t xml:space="preserve">9.1 Mr </w:t>
      </w:r>
      <w:r w:rsidR="00394A17">
        <w:rPr>
          <w:rFonts w:ascii="Arial" w:eastAsia="Times New Roman" w:hAnsi="Arial" w:cs="Arial"/>
          <w:sz w:val="24"/>
          <w:szCs w:val="20"/>
        </w:rPr>
        <w:t>X</w:t>
      </w:r>
      <w:r>
        <w:rPr>
          <w:rFonts w:ascii="Arial" w:eastAsia="Times New Roman" w:hAnsi="Arial" w:cs="Arial"/>
          <w:sz w:val="24"/>
          <w:szCs w:val="20"/>
        </w:rPr>
        <w:t xml:space="preserve"> remains  underweight despite this and I suggest this supports what he reports in his PIP2 at p12 of the bundle, although I will concede that no points might be awarded on Descriptor 2 on the basis of the PIP2 because Mr </w:t>
      </w:r>
      <w:r w:rsidR="00394A17">
        <w:rPr>
          <w:rFonts w:ascii="Arial" w:eastAsia="Times New Roman" w:hAnsi="Arial" w:cs="Arial"/>
          <w:sz w:val="24"/>
          <w:szCs w:val="20"/>
        </w:rPr>
        <w:t>X</w:t>
      </w:r>
      <w:r>
        <w:rPr>
          <w:rFonts w:ascii="Arial" w:eastAsia="Times New Roman" w:hAnsi="Arial" w:cs="Arial"/>
          <w:sz w:val="24"/>
          <w:szCs w:val="20"/>
        </w:rPr>
        <w:t xml:space="preserve"> indicates that he may</w:t>
      </w:r>
      <w:r w:rsidR="00366A84">
        <w:rPr>
          <w:rFonts w:ascii="Arial" w:eastAsia="Times New Roman" w:hAnsi="Arial" w:cs="Arial"/>
          <w:sz w:val="24"/>
          <w:szCs w:val="20"/>
        </w:rPr>
        <w:t xml:space="preserve"> in fact </w:t>
      </w:r>
      <w:r>
        <w:rPr>
          <w:rFonts w:ascii="Arial" w:eastAsia="Times New Roman" w:hAnsi="Arial" w:cs="Arial"/>
          <w:sz w:val="24"/>
          <w:szCs w:val="20"/>
        </w:rPr>
        <w:t>not need prompting to eat most days</w:t>
      </w:r>
    </w:p>
    <w:p w14:paraId="167FC999" w14:textId="77777777" w:rsidR="00A42F4E" w:rsidRDefault="00A42F4E" w:rsidP="00A42F4E">
      <w:pPr>
        <w:pStyle w:val="ListParagraph"/>
        <w:rPr>
          <w:rFonts w:ascii="Arial" w:eastAsia="Times New Roman" w:hAnsi="Arial" w:cs="Arial"/>
          <w:sz w:val="24"/>
          <w:szCs w:val="20"/>
        </w:rPr>
      </w:pPr>
    </w:p>
    <w:p w14:paraId="55D56B5D" w14:textId="29DBB2F4" w:rsidR="00DF4AF3" w:rsidRDefault="00513132" w:rsidP="00567EDD">
      <w:pPr>
        <w:numPr>
          <w:ilvl w:val="0"/>
          <w:numId w:val="18"/>
        </w:numPr>
        <w:spacing w:after="0" w:line="240" w:lineRule="auto"/>
        <w:ind w:right="555"/>
        <w:rPr>
          <w:rFonts w:ascii="Arial" w:eastAsia="Times New Roman" w:hAnsi="Arial" w:cs="Arial"/>
          <w:sz w:val="24"/>
          <w:szCs w:val="20"/>
        </w:rPr>
      </w:pPr>
      <w:r>
        <w:rPr>
          <w:rFonts w:ascii="Arial" w:eastAsia="Times New Roman" w:hAnsi="Arial" w:cs="Arial"/>
          <w:sz w:val="24"/>
          <w:szCs w:val="20"/>
        </w:rPr>
        <w:t>It is strongly arguable that the Respondent has had no regard for the authorities that apply to Regulation 4(2) or Regulation 4(2A)</w:t>
      </w:r>
    </w:p>
    <w:p w14:paraId="6C6D1035" w14:textId="2F13ABBA" w:rsidR="00513132" w:rsidRDefault="00513132" w:rsidP="00513132">
      <w:pPr>
        <w:spacing w:after="0" w:line="240" w:lineRule="auto"/>
        <w:ind w:left="607" w:right="555"/>
        <w:rPr>
          <w:rFonts w:ascii="Arial" w:eastAsia="Times New Roman" w:hAnsi="Arial" w:cs="Arial"/>
          <w:sz w:val="24"/>
          <w:szCs w:val="20"/>
        </w:rPr>
      </w:pPr>
    </w:p>
    <w:p w14:paraId="2AD73718" w14:textId="1FFF3475" w:rsidR="00513132" w:rsidRPr="00513132" w:rsidRDefault="00513132" w:rsidP="00513132">
      <w:pPr>
        <w:spacing w:after="0" w:line="240" w:lineRule="auto"/>
        <w:ind w:left="607" w:right="555"/>
        <w:rPr>
          <w:rFonts w:ascii="Arial" w:eastAsia="Times New Roman" w:hAnsi="Arial" w:cs="Arial"/>
          <w:sz w:val="24"/>
          <w:szCs w:val="20"/>
        </w:rPr>
      </w:pPr>
      <w:r>
        <w:rPr>
          <w:rFonts w:ascii="Arial" w:eastAsia="Times New Roman" w:hAnsi="Arial" w:cs="Arial"/>
          <w:sz w:val="24"/>
          <w:szCs w:val="20"/>
        </w:rPr>
        <w:t>1</w:t>
      </w:r>
      <w:r w:rsidR="008B2FE5">
        <w:rPr>
          <w:rFonts w:ascii="Arial" w:eastAsia="Times New Roman" w:hAnsi="Arial" w:cs="Arial"/>
          <w:sz w:val="24"/>
          <w:szCs w:val="20"/>
        </w:rPr>
        <w:t>0</w:t>
      </w:r>
      <w:r>
        <w:rPr>
          <w:rFonts w:ascii="Arial" w:eastAsia="Times New Roman" w:hAnsi="Arial" w:cs="Arial"/>
          <w:sz w:val="24"/>
          <w:szCs w:val="20"/>
        </w:rPr>
        <w:t>.1</w:t>
      </w:r>
      <w:r w:rsidRPr="00513132">
        <w:rPr>
          <w:rFonts w:ascii="Arial" w:eastAsia="Times New Roman" w:hAnsi="Arial" w:cs="Arial"/>
          <w:sz w:val="24"/>
          <w:szCs w:val="20"/>
        </w:rPr>
        <w:tab/>
        <w:t>Regulation 4 (2A) of The Social Security (Personal Independence Payment) Regulations 2013 SI 2013/377 as amended requires that the tasks can be carried out:</w:t>
      </w:r>
    </w:p>
    <w:p w14:paraId="47DAF891" w14:textId="77777777" w:rsidR="00513132" w:rsidRDefault="00513132" w:rsidP="00513132">
      <w:pPr>
        <w:spacing w:after="0" w:line="240" w:lineRule="auto"/>
        <w:ind w:left="2127" w:right="555"/>
        <w:rPr>
          <w:rFonts w:ascii="Arial" w:eastAsia="Times New Roman" w:hAnsi="Arial" w:cs="Arial"/>
          <w:sz w:val="24"/>
          <w:szCs w:val="20"/>
        </w:rPr>
      </w:pPr>
    </w:p>
    <w:p w14:paraId="1D696A7D" w14:textId="59951888" w:rsidR="00513132" w:rsidRP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(a) safely;</w:t>
      </w:r>
    </w:p>
    <w:p w14:paraId="7026FDEC" w14:textId="77777777" w:rsidR="00513132" w:rsidRP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(b) to an acceptable standard;</w:t>
      </w:r>
    </w:p>
    <w:p w14:paraId="22E82FA3" w14:textId="77777777" w:rsidR="00513132" w:rsidRP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t>(c) repeatedly; and</w:t>
      </w:r>
    </w:p>
    <w:p w14:paraId="20AFDCC2" w14:textId="23B15326" w:rsidR="00513132" w:rsidRDefault="00513132" w:rsidP="00513132">
      <w:pPr>
        <w:spacing w:after="0" w:line="240" w:lineRule="auto"/>
        <w:ind w:left="2127" w:right="555"/>
        <w:rPr>
          <w:rFonts w:ascii="Arial" w:eastAsia="Times New Roman" w:hAnsi="Arial" w:cs="Arial"/>
          <w:sz w:val="24"/>
          <w:szCs w:val="20"/>
        </w:rPr>
      </w:pPr>
      <w:r w:rsidRPr="00513132">
        <w:rPr>
          <w:rFonts w:ascii="Arial" w:eastAsia="Times New Roman" w:hAnsi="Arial" w:cs="Arial"/>
          <w:sz w:val="24"/>
          <w:szCs w:val="20"/>
        </w:rPr>
        <w:lastRenderedPageBreak/>
        <w:t>(d) within a reasonable time period</w:t>
      </w:r>
    </w:p>
    <w:p w14:paraId="64CFA3CE" w14:textId="77777777" w:rsidR="00950A88" w:rsidRDefault="00950A88" w:rsidP="00513132">
      <w:pPr>
        <w:spacing w:after="0" w:line="240" w:lineRule="auto"/>
        <w:ind w:left="2127" w:right="555"/>
        <w:rPr>
          <w:rFonts w:ascii="Arial" w:eastAsia="Times New Roman" w:hAnsi="Arial" w:cs="Arial"/>
          <w:sz w:val="24"/>
          <w:szCs w:val="20"/>
        </w:rPr>
      </w:pPr>
    </w:p>
    <w:p w14:paraId="656E3283" w14:textId="0ECE5D09" w:rsidR="00950A88" w:rsidRPr="00950A88" w:rsidRDefault="00950A88" w:rsidP="00950A88">
      <w:pPr>
        <w:pStyle w:val="ListParagraph"/>
        <w:numPr>
          <w:ilvl w:val="0"/>
          <w:numId w:val="18"/>
        </w:numPr>
        <w:rPr>
          <w:rFonts w:ascii="Arial" w:eastAsia="Times New Roman" w:hAnsi="Arial" w:cs="Arial"/>
          <w:sz w:val="24"/>
          <w:szCs w:val="20"/>
        </w:rPr>
      </w:pPr>
      <w:r>
        <w:rPr>
          <w:rFonts w:ascii="Arial" w:eastAsia="Times New Roman" w:hAnsi="Arial" w:cs="Arial"/>
          <w:sz w:val="24"/>
          <w:szCs w:val="20"/>
        </w:rPr>
        <w:t xml:space="preserve">It </w:t>
      </w:r>
      <w:r w:rsidRPr="00950A88">
        <w:rPr>
          <w:rFonts w:ascii="Arial" w:eastAsia="Times New Roman" w:hAnsi="Arial" w:cs="Arial"/>
          <w:sz w:val="24"/>
          <w:szCs w:val="20"/>
        </w:rPr>
        <w:t xml:space="preserve"> is now established beyond doubt following [2016] AACR 23 (TR v SSWP(PIP)) that a descriptor may be satisfied if a claimant is unable to carry out a task for part of the day, provided the impact on that person’s life is more than trifling.</w:t>
      </w:r>
      <w:r>
        <w:rPr>
          <w:rFonts w:ascii="Arial" w:eastAsia="Times New Roman" w:hAnsi="Arial" w:cs="Arial"/>
          <w:sz w:val="24"/>
          <w:szCs w:val="20"/>
        </w:rPr>
        <w:t xml:space="preserve"> (</w:t>
      </w:r>
      <w:r w:rsidR="00366A84">
        <w:rPr>
          <w:rFonts w:ascii="Arial" w:eastAsia="Times New Roman" w:hAnsi="Arial" w:cs="Arial"/>
          <w:sz w:val="24"/>
          <w:szCs w:val="20"/>
        </w:rPr>
        <w:t>see TR</w:t>
      </w:r>
      <w:r>
        <w:rPr>
          <w:rFonts w:ascii="Arial" w:eastAsia="Times New Roman" w:hAnsi="Arial" w:cs="Arial"/>
          <w:sz w:val="24"/>
          <w:szCs w:val="20"/>
        </w:rPr>
        <w:t xml:space="preserve"> at [18] and [32] re Regulation 4(2A)(c))</w:t>
      </w:r>
    </w:p>
    <w:p w14:paraId="5F08905E" w14:textId="77777777" w:rsidR="00950A88" w:rsidRPr="00383BEE" w:rsidRDefault="00950A88" w:rsidP="00950A88">
      <w:pPr>
        <w:numPr>
          <w:ilvl w:val="0"/>
          <w:numId w:val="18"/>
        </w:numPr>
        <w:spacing w:after="0" w:line="240" w:lineRule="auto"/>
        <w:ind w:right="555"/>
        <w:rPr>
          <w:rFonts w:ascii="Arial" w:hAnsi="Arial" w:cs="Arial"/>
          <w:sz w:val="24"/>
          <w:szCs w:val="24"/>
        </w:rPr>
      </w:pPr>
      <w:r w:rsidRPr="00383BEE">
        <w:rPr>
          <w:rFonts w:ascii="Arial" w:hAnsi="Arial" w:cs="Arial"/>
          <w:sz w:val="24"/>
          <w:szCs w:val="24"/>
        </w:rPr>
        <w:t>In PM v SSWP (PIP) [2017] UKUT 0154 (AAC), Judge Gray held at [ 20]</w:t>
      </w:r>
    </w:p>
    <w:p w14:paraId="66973E57" w14:textId="77777777" w:rsidR="00950A88" w:rsidRPr="00383BEE" w:rsidRDefault="00950A88" w:rsidP="00950A88">
      <w:pPr>
        <w:ind w:left="1069" w:right="555"/>
        <w:rPr>
          <w:rFonts w:ascii="Arial" w:hAnsi="Arial" w:cs="Arial"/>
          <w:sz w:val="24"/>
          <w:szCs w:val="24"/>
        </w:rPr>
      </w:pPr>
    </w:p>
    <w:p w14:paraId="533F6CE4" w14:textId="77777777" w:rsidR="00950A88" w:rsidRPr="00383BEE" w:rsidRDefault="00950A88" w:rsidP="00950A88">
      <w:pPr>
        <w:ind w:left="1985" w:right="555"/>
        <w:rPr>
          <w:rFonts w:ascii="Arial" w:hAnsi="Arial" w:cs="Arial"/>
          <w:i/>
          <w:iCs/>
          <w:sz w:val="24"/>
          <w:szCs w:val="24"/>
        </w:rPr>
      </w:pPr>
      <w:r w:rsidRPr="00383BEE">
        <w:rPr>
          <w:rFonts w:ascii="Arial" w:hAnsi="Arial" w:cs="Arial"/>
          <w:sz w:val="24"/>
          <w:szCs w:val="24"/>
        </w:rPr>
        <w:t xml:space="preserve">To the extent that this definition was interpreted to exclude the appellant’s choice as to how often she would ‘move around’ (in the words of the schedule; I might use the expression ‘walk’) and replace that choice with an objective test of how often she needed to do so, that was wrong. I reiterate my observations in </w:t>
      </w:r>
      <w:r w:rsidRPr="00383BEE">
        <w:rPr>
          <w:rFonts w:ascii="Arial" w:hAnsi="Arial" w:cs="Arial"/>
          <w:i/>
          <w:iCs/>
          <w:sz w:val="24"/>
          <w:szCs w:val="24"/>
        </w:rPr>
        <w:t xml:space="preserve">EG </w:t>
      </w:r>
      <w:r w:rsidRPr="00383BEE">
        <w:rPr>
          <w:rFonts w:ascii="Arial" w:hAnsi="Arial" w:cs="Arial"/>
          <w:sz w:val="24"/>
          <w:szCs w:val="24"/>
        </w:rPr>
        <w:t xml:space="preserve">cited above. If the tribunal looked at the concept </w:t>
      </w:r>
      <w:r w:rsidRPr="00383BEE">
        <w:rPr>
          <w:rFonts w:ascii="Arial" w:hAnsi="Arial" w:cs="Arial"/>
          <w:i/>
          <w:iCs/>
          <w:sz w:val="24"/>
          <w:szCs w:val="24"/>
        </w:rPr>
        <w:t xml:space="preserve">‘repeatedly’ </w:t>
      </w:r>
      <w:r w:rsidRPr="00383BEE">
        <w:rPr>
          <w:rFonts w:ascii="Arial" w:hAnsi="Arial" w:cs="Arial"/>
          <w:sz w:val="24"/>
          <w:szCs w:val="24"/>
        </w:rPr>
        <w:t xml:space="preserve">on one walk to a local shop and then back home each day, which an appellant could accomplish at one stretch, perhaps because it felt that she would be able to pick up what she needed on such an outing, that would be to assess her on an overly limited basis: she may wish to walk on to the park, or meet a friend, and why should she not? That extended walk may necessitate rest periods thus the concept of repeatedly is wider. Using Judge Jacobs point in relation to dressing, to which I also refer above, a tribunal does not need to accept the genuineness of an extreme routine put forward in an apparent attempt to “generate” points, but if it is accepted that somebody would like to walk further or more frequently, and such activity is not inherently unreasonable then that wish should be factored in to the calculation of how often the activity being assessed is reasonably required to be completed. To address this matter otherwise would be to calculate entitlement upon the tribunal’s view of what the disabled person’s activities should be. Directly in the PIP context I draw support for that proposition from the comments of Upper Tribunal Judge Hemingway in </w:t>
      </w:r>
      <w:r w:rsidRPr="00383BEE">
        <w:rPr>
          <w:rFonts w:ascii="Arial" w:hAnsi="Arial" w:cs="Arial"/>
          <w:i/>
          <w:iCs/>
          <w:sz w:val="24"/>
          <w:szCs w:val="24"/>
        </w:rPr>
        <w:t xml:space="preserve">CE-v-SSWP (PIP) [2015] UKUT 643 (AAC) </w:t>
      </w:r>
      <w:r w:rsidRPr="00383BEE">
        <w:rPr>
          <w:rFonts w:ascii="Arial" w:hAnsi="Arial" w:cs="Arial"/>
          <w:sz w:val="24"/>
          <w:szCs w:val="24"/>
        </w:rPr>
        <w:t>at [34</w:t>
      </w:r>
      <w:r w:rsidRPr="00383BEE">
        <w:rPr>
          <w:rFonts w:ascii="Arial" w:hAnsi="Arial" w:cs="Arial"/>
          <w:i/>
          <w:iCs/>
          <w:sz w:val="24"/>
          <w:szCs w:val="24"/>
        </w:rPr>
        <w:t>]:</w:t>
      </w:r>
    </w:p>
    <w:p w14:paraId="43414623" w14:textId="77777777" w:rsidR="00950A88" w:rsidRPr="00383BEE" w:rsidRDefault="00950A88" w:rsidP="00950A88">
      <w:pPr>
        <w:ind w:left="1985" w:right="555"/>
        <w:rPr>
          <w:rFonts w:ascii="Arial" w:hAnsi="Arial" w:cs="Arial"/>
          <w:i/>
          <w:iCs/>
          <w:sz w:val="24"/>
          <w:szCs w:val="24"/>
        </w:rPr>
      </w:pPr>
    </w:p>
    <w:p w14:paraId="3A2C885A" w14:textId="77777777" w:rsidR="00950A88" w:rsidRPr="00383BEE" w:rsidRDefault="00950A88" w:rsidP="00950A88">
      <w:pPr>
        <w:ind w:left="2694" w:right="980"/>
        <w:rPr>
          <w:rFonts w:ascii="Arial" w:hAnsi="Arial" w:cs="Arial"/>
          <w:sz w:val="24"/>
          <w:szCs w:val="24"/>
        </w:rPr>
      </w:pPr>
      <w:r w:rsidRPr="00383BEE">
        <w:rPr>
          <w:rFonts w:ascii="Arial" w:hAnsi="Arial" w:cs="Arial"/>
          <w:i/>
          <w:iCs/>
          <w:sz w:val="24"/>
          <w:szCs w:val="24"/>
        </w:rPr>
        <w:t xml:space="preserve">It seems to me it makes no sense to say a person is able to perform an activity as often as reasonably required if they cannot do so for a part of the day in which they would otherwise </w:t>
      </w:r>
      <w:r w:rsidRPr="00383BEE">
        <w:rPr>
          <w:rFonts w:ascii="Arial" w:hAnsi="Arial" w:cs="Arial"/>
          <w:b/>
          <w:i/>
          <w:iCs/>
          <w:sz w:val="24"/>
          <w:szCs w:val="24"/>
          <w:u w:val="single"/>
        </w:rPr>
        <w:t>reasonably wish or need to do so</w:t>
      </w:r>
      <w:r w:rsidRPr="00383BEE">
        <w:rPr>
          <w:rFonts w:ascii="Arial" w:hAnsi="Arial" w:cs="Arial"/>
          <w:i/>
          <w:iCs/>
          <w:sz w:val="24"/>
          <w:szCs w:val="24"/>
        </w:rPr>
        <w:t xml:space="preserve">. </w:t>
      </w:r>
      <w:r w:rsidRPr="00383BEE">
        <w:rPr>
          <w:rFonts w:ascii="Arial" w:hAnsi="Arial" w:cs="Arial"/>
          <w:sz w:val="24"/>
          <w:szCs w:val="24"/>
        </w:rPr>
        <w:t>(my emphasis).</w:t>
      </w:r>
    </w:p>
    <w:p w14:paraId="5977C427" w14:textId="77777777" w:rsidR="00950A88" w:rsidRPr="00383BEE" w:rsidRDefault="00950A88" w:rsidP="00950A88">
      <w:pPr>
        <w:ind w:left="1985" w:right="555"/>
        <w:rPr>
          <w:rFonts w:ascii="Arial" w:hAnsi="Arial" w:cs="Arial"/>
          <w:sz w:val="24"/>
          <w:szCs w:val="24"/>
        </w:rPr>
      </w:pPr>
    </w:p>
    <w:p w14:paraId="62ACF5BD" w14:textId="77777777" w:rsidR="00950A88" w:rsidRPr="00383BEE" w:rsidRDefault="00950A88" w:rsidP="00950A88">
      <w:pPr>
        <w:ind w:left="1985" w:right="555"/>
        <w:rPr>
          <w:rFonts w:ascii="Arial" w:hAnsi="Arial" w:cs="Arial"/>
          <w:sz w:val="24"/>
          <w:szCs w:val="24"/>
        </w:rPr>
      </w:pPr>
      <w:r w:rsidRPr="00383BEE">
        <w:rPr>
          <w:rFonts w:ascii="Arial" w:hAnsi="Arial" w:cs="Arial"/>
          <w:sz w:val="24"/>
          <w:szCs w:val="24"/>
        </w:rPr>
        <w:t xml:space="preserve">I pick up on a different aspect of that comment in my closing remarks. I also consider pertinent the dicta of Lord Slynn of Hadley in </w:t>
      </w:r>
      <w:r w:rsidRPr="00383BEE">
        <w:rPr>
          <w:rFonts w:ascii="Arial" w:hAnsi="Arial" w:cs="Arial"/>
          <w:i/>
          <w:iCs/>
          <w:sz w:val="24"/>
          <w:szCs w:val="24"/>
        </w:rPr>
        <w:t>Secretary of State –v- Fairey (R(A) 2/98)</w:t>
      </w:r>
      <w:r w:rsidRPr="00383BEE">
        <w:rPr>
          <w:rFonts w:ascii="Arial" w:hAnsi="Arial" w:cs="Arial"/>
          <w:sz w:val="24"/>
          <w:szCs w:val="24"/>
        </w:rPr>
        <w:t>; although made in the context of the Attendance Allowance scheme the assessment was of attention “reasonably required”.</w:t>
      </w:r>
    </w:p>
    <w:p w14:paraId="205C513E" w14:textId="77777777" w:rsidR="00950A88" w:rsidRPr="00383BEE" w:rsidRDefault="00950A88" w:rsidP="00950A88">
      <w:pPr>
        <w:ind w:left="1985" w:right="555"/>
        <w:rPr>
          <w:rFonts w:ascii="Arial" w:hAnsi="Arial" w:cs="Arial"/>
          <w:sz w:val="24"/>
          <w:szCs w:val="24"/>
        </w:rPr>
      </w:pPr>
    </w:p>
    <w:p w14:paraId="10A57B7D" w14:textId="3C199B8E" w:rsidR="00950A88" w:rsidRDefault="00950A88" w:rsidP="00950A88">
      <w:pPr>
        <w:ind w:left="2694" w:right="1264"/>
        <w:rPr>
          <w:rFonts w:ascii="Arial" w:hAnsi="Arial" w:cs="Arial"/>
          <w:sz w:val="24"/>
          <w:szCs w:val="24"/>
        </w:rPr>
      </w:pPr>
      <w:r w:rsidRPr="00383BEE">
        <w:rPr>
          <w:rFonts w:ascii="Arial" w:hAnsi="Arial" w:cs="Arial"/>
          <w:i/>
          <w:iCs/>
          <w:sz w:val="24"/>
          <w:szCs w:val="24"/>
        </w:rPr>
        <w:lastRenderedPageBreak/>
        <w:t>‘ In my opinion the yardstick of a “normal life” is important; it is a better approach than adopting the test as to whether something is “essential” or “desirable”. Social life in the sense of mixing with others, taking part in activities with others, undertaking recreation and cultural activities can be part of normal life. It is not in any way unreasonable that the severely disabled person should want to be involved in them despite his disability. . What is reasonable will depend on the age, sex, interests of the applicant and other circumstances. To take part in such activities sight and hearing are normally necessary and if they are impaired attention is required in connection with the bodily functions of seeing and hearing to enable the person to overcome his disability. As Swinton Thomas LJ in the Court Of Appeal said “Attention given to a profoundly deaf person to enable that person to carry on, so far as possible in the circumstances, an ordinary life is capable of being attention that is reasonably required.”</w:t>
      </w:r>
      <w:r w:rsidRPr="00383BEE">
        <w:rPr>
          <w:rFonts w:ascii="Arial" w:hAnsi="Arial" w:cs="Arial"/>
          <w:sz w:val="24"/>
          <w:szCs w:val="24"/>
        </w:rPr>
        <w:t xml:space="preserve"> </w:t>
      </w:r>
    </w:p>
    <w:p w14:paraId="3D71700D" w14:textId="43E477EB" w:rsidR="005D324C" w:rsidRDefault="005D324C" w:rsidP="00950A88">
      <w:pPr>
        <w:ind w:left="2694" w:right="1264"/>
        <w:rPr>
          <w:rFonts w:ascii="Arial" w:hAnsi="Arial" w:cs="Arial"/>
          <w:sz w:val="24"/>
          <w:szCs w:val="24"/>
        </w:rPr>
      </w:pPr>
    </w:p>
    <w:p w14:paraId="2ED93A01" w14:textId="08B7AA59" w:rsidR="005D324C" w:rsidRPr="00383BEE" w:rsidRDefault="005D324C" w:rsidP="00932154">
      <w:pPr>
        <w:ind w:left="1276" w:right="1264"/>
        <w:rPr>
          <w:rFonts w:ascii="Arial" w:hAnsi="Arial" w:cs="Arial"/>
          <w:sz w:val="24"/>
          <w:szCs w:val="24"/>
        </w:rPr>
      </w:pPr>
      <w:r>
        <w:rPr>
          <w:rFonts w:ascii="Arial" w:hAnsi="Arial" w:cs="Arial"/>
          <w:sz w:val="24"/>
          <w:szCs w:val="24"/>
        </w:rPr>
        <w:t xml:space="preserve">12.1 </w:t>
      </w:r>
      <w:r w:rsidRPr="005D324C">
        <w:rPr>
          <w:rFonts w:ascii="Arial" w:hAnsi="Arial" w:cs="Arial"/>
          <w:sz w:val="24"/>
          <w:szCs w:val="24"/>
        </w:rPr>
        <w:t>I suggest that if the above authorities are followed, the remarks by the Respondent (</w:t>
      </w:r>
      <w:r w:rsidRPr="005D324C">
        <w:rPr>
          <w:rFonts w:ascii="Arial" w:hAnsi="Arial" w:cs="Arial"/>
          <w:b/>
          <w:bCs/>
          <w:sz w:val="24"/>
          <w:szCs w:val="24"/>
        </w:rPr>
        <w:t xml:space="preserve">S4(7)of the </w:t>
      </w:r>
      <w:r>
        <w:rPr>
          <w:rFonts w:ascii="Arial" w:hAnsi="Arial" w:cs="Arial"/>
          <w:b/>
          <w:bCs/>
          <w:sz w:val="24"/>
          <w:szCs w:val="24"/>
        </w:rPr>
        <w:t>R</w:t>
      </w:r>
      <w:r w:rsidRPr="005D324C">
        <w:rPr>
          <w:rFonts w:ascii="Arial" w:hAnsi="Arial" w:cs="Arial"/>
          <w:b/>
          <w:bCs/>
          <w:sz w:val="24"/>
          <w:szCs w:val="24"/>
        </w:rPr>
        <w:t>esponse Page F</w:t>
      </w:r>
      <w:r w:rsidRPr="005D324C">
        <w:rPr>
          <w:rFonts w:ascii="Arial" w:hAnsi="Arial" w:cs="Arial"/>
          <w:sz w:val="24"/>
          <w:szCs w:val="24"/>
        </w:rPr>
        <w:t>) that “</w:t>
      </w:r>
      <w:r w:rsidRPr="00932154">
        <w:rPr>
          <w:rFonts w:ascii="Arial" w:hAnsi="Arial" w:cs="Arial"/>
          <w:i/>
          <w:iCs/>
          <w:sz w:val="24"/>
          <w:szCs w:val="24"/>
        </w:rPr>
        <w:t xml:space="preserve">The Health Care Professional considered Mr </w:t>
      </w:r>
      <w:r w:rsidR="00394A17">
        <w:rPr>
          <w:rFonts w:ascii="Arial" w:hAnsi="Arial" w:cs="Arial"/>
          <w:i/>
          <w:iCs/>
          <w:sz w:val="24"/>
          <w:szCs w:val="24"/>
        </w:rPr>
        <w:t>X</w:t>
      </w:r>
      <w:r w:rsidRPr="00932154">
        <w:rPr>
          <w:rFonts w:ascii="Arial" w:hAnsi="Arial" w:cs="Arial"/>
          <w:i/>
          <w:iCs/>
          <w:sz w:val="24"/>
          <w:szCs w:val="24"/>
        </w:rPr>
        <w:t xml:space="preserve">’s abilities on the majority of days rather than exacerbations in his condition” </w:t>
      </w:r>
      <w:r w:rsidRPr="00932154">
        <w:rPr>
          <w:rFonts w:ascii="Arial" w:hAnsi="Arial" w:cs="Arial"/>
          <w:sz w:val="24"/>
          <w:szCs w:val="24"/>
        </w:rPr>
        <w:t>needs to be viewed in a</w:t>
      </w:r>
      <w:r w:rsidRPr="005D324C">
        <w:rPr>
          <w:rFonts w:ascii="Arial" w:hAnsi="Arial" w:cs="Arial"/>
          <w:sz w:val="24"/>
          <w:szCs w:val="24"/>
        </w:rPr>
        <w:t xml:space="preserve"> different light.  The yardstick of a more normal life established by Fairey and the principles established in the PIP context by</w:t>
      </w:r>
      <w:r w:rsidR="00750907">
        <w:rPr>
          <w:rFonts w:ascii="Arial" w:hAnsi="Arial" w:cs="Arial"/>
          <w:sz w:val="24"/>
          <w:szCs w:val="24"/>
        </w:rPr>
        <w:t xml:space="preserve"> </w:t>
      </w:r>
      <w:r w:rsidR="000E31C3">
        <w:rPr>
          <w:rFonts w:ascii="Arial" w:hAnsi="Arial" w:cs="Arial"/>
          <w:sz w:val="24"/>
          <w:szCs w:val="24"/>
        </w:rPr>
        <w:t>TR,</w:t>
      </w:r>
      <w:r w:rsidRPr="005D324C">
        <w:rPr>
          <w:rFonts w:ascii="Arial" w:hAnsi="Arial" w:cs="Arial"/>
          <w:sz w:val="24"/>
          <w:szCs w:val="24"/>
        </w:rPr>
        <w:t xml:space="preserve"> PM</w:t>
      </w:r>
      <w:r w:rsidR="00750907">
        <w:rPr>
          <w:rFonts w:ascii="Arial" w:hAnsi="Arial" w:cs="Arial"/>
          <w:sz w:val="24"/>
          <w:szCs w:val="24"/>
        </w:rPr>
        <w:t>,</w:t>
      </w:r>
      <w:r w:rsidRPr="005D324C">
        <w:rPr>
          <w:rFonts w:ascii="Arial" w:hAnsi="Arial" w:cs="Arial"/>
          <w:sz w:val="24"/>
          <w:szCs w:val="24"/>
        </w:rPr>
        <w:t xml:space="preserve"> and PS</w:t>
      </w:r>
      <w:r>
        <w:rPr>
          <w:rFonts w:ascii="Arial" w:hAnsi="Arial" w:cs="Arial"/>
          <w:sz w:val="24"/>
          <w:szCs w:val="24"/>
        </w:rPr>
        <w:t xml:space="preserve"> </w:t>
      </w:r>
      <w:r w:rsidR="00750907">
        <w:rPr>
          <w:rFonts w:ascii="Arial" w:hAnsi="Arial" w:cs="Arial"/>
          <w:sz w:val="24"/>
          <w:szCs w:val="24"/>
        </w:rPr>
        <w:t>(cited at [13] below)</w:t>
      </w:r>
      <w:r w:rsidRPr="005D324C">
        <w:rPr>
          <w:rFonts w:ascii="Arial" w:hAnsi="Arial" w:cs="Arial"/>
          <w:sz w:val="24"/>
          <w:szCs w:val="24"/>
        </w:rPr>
        <w:t xml:space="preserve"> ought to be the focus for that view</w:t>
      </w:r>
    </w:p>
    <w:p w14:paraId="1E7CDB27" w14:textId="77777777" w:rsidR="00950A88" w:rsidRPr="007747E7" w:rsidRDefault="00950A88" w:rsidP="008B2FE5">
      <w:pPr>
        <w:numPr>
          <w:ilvl w:val="0"/>
          <w:numId w:val="22"/>
        </w:numPr>
        <w:spacing w:after="0" w:line="240" w:lineRule="auto"/>
        <w:ind w:right="271"/>
        <w:rPr>
          <w:rFonts w:ascii="Arial" w:hAnsi="Arial" w:cs="Arial"/>
          <w:sz w:val="24"/>
          <w:szCs w:val="24"/>
        </w:rPr>
      </w:pPr>
      <w:r>
        <w:rPr>
          <w:rFonts w:ascii="Arial" w:hAnsi="Arial" w:cs="Arial"/>
          <w:sz w:val="24"/>
          <w:szCs w:val="24"/>
        </w:rPr>
        <w:t xml:space="preserve">Regulation 4(2A) requires that an activity can be carried out to an acceptable standard and I am reminded that in </w:t>
      </w:r>
      <w:r w:rsidRPr="007747E7">
        <w:rPr>
          <w:rFonts w:ascii="Arial" w:hAnsi="Arial" w:cs="Arial"/>
          <w:sz w:val="24"/>
          <w:szCs w:val="24"/>
        </w:rPr>
        <w:t xml:space="preserve">PS v SSWP [2016] UKUT 0326 (AAC) CPIP/665/2016, Judge Markus held at [ 11] </w:t>
      </w:r>
    </w:p>
    <w:p w14:paraId="36F023A3" w14:textId="77777777" w:rsidR="00950A88" w:rsidRPr="007747E7" w:rsidRDefault="00950A88" w:rsidP="00950A88">
      <w:pPr>
        <w:ind w:left="720" w:right="271"/>
        <w:rPr>
          <w:rFonts w:ascii="Arial" w:hAnsi="Arial" w:cs="Arial"/>
          <w:sz w:val="24"/>
          <w:szCs w:val="24"/>
        </w:rPr>
      </w:pPr>
    </w:p>
    <w:p w14:paraId="3593EE18" w14:textId="77777777" w:rsidR="00950A88" w:rsidRDefault="00950A88" w:rsidP="00950A88">
      <w:pPr>
        <w:ind w:left="1701" w:right="1405"/>
        <w:rPr>
          <w:rFonts w:ascii="Arial" w:hAnsi="Arial" w:cs="Arial"/>
          <w:sz w:val="24"/>
          <w:szCs w:val="24"/>
        </w:rPr>
      </w:pPr>
      <w:r w:rsidRPr="007747E7">
        <w:rPr>
          <w:rFonts w:ascii="Arial" w:hAnsi="Arial" w:cs="Arial"/>
          <w:sz w:val="24"/>
          <w:szCs w:val="24"/>
        </w:rPr>
        <w:t>1</w:t>
      </w:r>
      <w:r>
        <w:rPr>
          <w:rFonts w:ascii="Arial" w:hAnsi="Arial" w:cs="Arial"/>
          <w:sz w:val="24"/>
          <w:szCs w:val="24"/>
        </w:rPr>
        <w:t>1</w:t>
      </w:r>
      <w:r w:rsidRPr="007747E7">
        <w:rPr>
          <w:rFonts w:ascii="Arial" w:hAnsi="Arial" w:cs="Arial"/>
          <w:sz w:val="24"/>
          <w:szCs w:val="24"/>
        </w:rPr>
        <w:t>.</w:t>
      </w:r>
      <w:r w:rsidRPr="007747E7">
        <w:rPr>
          <w:rFonts w:ascii="Arial" w:hAnsi="Arial" w:cs="Arial"/>
          <w:sz w:val="24"/>
          <w:szCs w:val="24"/>
        </w:rPr>
        <w:tab/>
        <w:t>What the Appellant was saying in his written and oral evidence was that he suffered pain when he walked, that he would walk slowly for a short distance despite the pain but that it would get worse until the pain would stop him. It could not properly be assumed that, because the Appellant managed to keep going for a certain distance, any pain he experienced while he was walking was not relevant. If a claimant cannot carry out an activity at all, regulation 4(2A) does not come into play.  Where a person is able to carry out an activity, pain is clearly a potentially relevant factor to the question whether he or she can do so to an acceptable standard.</w:t>
      </w:r>
    </w:p>
    <w:p w14:paraId="7784B62F" w14:textId="15CD8B79" w:rsidR="00C16212" w:rsidRDefault="008B2FE5" w:rsidP="008B2FE5">
      <w:pPr>
        <w:numPr>
          <w:ilvl w:val="0"/>
          <w:numId w:val="23"/>
        </w:numPr>
        <w:spacing w:after="0" w:line="240" w:lineRule="auto"/>
        <w:ind w:left="993" w:right="555"/>
        <w:rPr>
          <w:rFonts w:ascii="Arial" w:eastAsia="Times New Roman" w:hAnsi="Arial" w:cs="Arial"/>
          <w:sz w:val="24"/>
          <w:szCs w:val="20"/>
        </w:rPr>
      </w:pPr>
      <w:r>
        <w:rPr>
          <w:rFonts w:ascii="Arial" w:eastAsia="Times New Roman" w:hAnsi="Arial" w:cs="Arial"/>
          <w:sz w:val="24"/>
          <w:szCs w:val="20"/>
        </w:rPr>
        <w:t>The Respondent suggests(</w:t>
      </w:r>
      <w:r w:rsidRPr="008B2FE5">
        <w:rPr>
          <w:rFonts w:ascii="Arial" w:eastAsia="Times New Roman" w:hAnsi="Arial" w:cs="Arial"/>
          <w:b/>
          <w:bCs/>
          <w:sz w:val="24"/>
          <w:szCs w:val="20"/>
        </w:rPr>
        <w:t>S4(5) page D of the Response</w:t>
      </w:r>
      <w:r>
        <w:rPr>
          <w:rFonts w:ascii="Arial" w:eastAsia="Times New Roman" w:hAnsi="Arial" w:cs="Arial"/>
          <w:sz w:val="24"/>
          <w:szCs w:val="20"/>
        </w:rPr>
        <w:t>) that there was “no evidence of pain throughout the assessment” and</w:t>
      </w:r>
      <w:r w:rsidR="000E31C3">
        <w:rPr>
          <w:rFonts w:ascii="Arial" w:eastAsia="Times New Roman" w:hAnsi="Arial" w:cs="Arial"/>
          <w:sz w:val="24"/>
          <w:szCs w:val="20"/>
        </w:rPr>
        <w:t xml:space="preserve"> also that “</w:t>
      </w:r>
      <w:r>
        <w:rPr>
          <w:rFonts w:ascii="Arial" w:eastAsia="Times New Roman" w:hAnsi="Arial" w:cs="Arial"/>
          <w:sz w:val="24"/>
          <w:szCs w:val="20"/>
        </w:rPr>
        <w:t xml:space="preserve">Mr </w:t>
      </w:r>
      <w:r w:rsidR="00394A17">
        <w:rPr>
          <w:rFonts w:ascii="Arial" w:eastAsia="Times New Roman" w:hAnsi="Arial" w:cs="Arial"/>
          <w:sz w:val="24"/>
          <w:szCs w:val="20"/>
        </w:rPr>
        <w:t>X</w:t>
      </w:r>
      <w:r>
        <w:rPr>
          <w:rFonts w:ascii="Arial" w:eastAsia="Times New Roman" w:hAnsi="Arial" w:cs="Arial"/>
          <w:sz w:val="24"/>
          <w:szCs w:val="20"/>
        </w:rPr>
        <w:t xml:space="preserve"> is not prescribed any pain medication</w:t>
      </w:r>
      <w:r w:rsidR="000E31C3">
        <w:rPr>
          <w:rFonts w:ascii="Arial" w:eastAsia="Times New Roman" w:hAnsi="Arial" w:cs="Arial"/>
          <w:sz w:val="24"/>
          <w:szCs w:val="20"/>
        </w:rPr>
        <w:t>”</w:t>
      </w:r>
      <w:r>
        <w:rPr>
          <w:rFonts w:ascii="Arial" w:eastAsia="Times New Roman" w:hAnsi="Arial" w:cs="Arial"/>
          <w:sz w:val="24"/>
          <w:szCs w:val="20"/>
        </w:rPr>
        <w:t xml:space="preserve">.  He is </w:t>
      </w:r>
      <w:r w:rsidR="000E31C3">
        <w:rPr>
          <w:rFonts w:ascii="Arial" w:eastAsia="Times New Roman" w:hAnsi="Arial" w:cs="Arial"/>
          <w:sz w:val="24"/>
          <w:szCs w:val="20"/>
        </w:rPr>
        <w:t>“</w:t>
      </w:r>
      <w:r>
        <w:rPr>
          <w:rFonts w:ascii="Arial" w:eastAsia="Times New Roman" w:hAnsi="Arial" w:cs="Arial"/>
          <w:sz w:val="24"/>
          <w:szCs w:val="20"/>
        </w:rPr>
        <w:t>not under a specialist for his mental health”</w:t>
      </w:r>
    </w:p>
    <w:p w14:paraId="711345B4" w14:textId="0B65FD69" w:rsidR="00E83819" w:rsidRDefault="00E83819" w:rsidP="00E83819">
      <w:pPr>
        <w:spacing w:after="0" w:line="240" w:lineRule="auto"/>
        <w:ind w:left="720" w:right="555"/>
        <w:rPr>
          <w:rFonts w:ascii="Arial" w:eastAsia="Times New Roman" w:hAnsi="Arial" w:cs="Arial"/>
          <w:sz w:val="24"/>
          <w:szCs w:val="20"/>
        </w:rPr>
      </w:pPr>
    </w:p>
    <w:p w14:paraId="52D82B9D" w14:textId="345D004A" w:rsidR="008B2FE5" w:rsidRDefault="00E83819" w:rsidP="0034347A">
      <w:pPr>
        <w:pStyle w:val="ListParagraph"/>
        <w:numPr>
          <w:ilvl w:val="1"/>
          <w:numId w:val="23"/>
        </w:numPr>
        <w:ind w:right="413"/>
        <w:rPr>
          <w:rFonts w:ascii="Arial" w:eastAsia="Times New Roman" w:hAnsi="Arial" w:cs="Arial"/>
          <w:sz w:val="24"/>
          <w:szCs w:val="20"/>
        </w:rPr>
      </w:pPr>
      <w:r w:rsidRPr="0034347A">
        <w:rPr>
          <w:rFonts w:ascii="Arial" w:eastAsia="Times New Roman" w:hAnsi="Arial" w:cs="Arial"/>
          <w:sz w:val="24"/>
          <w:szCs w:val="20"/>
        </w:rPr>
        <w:lastRenderedPageBreak/>
        <w:t>The evidence</w:t>
      </w:r>
      <w:r w:rsidR="008B2FE5" w:rsidRPr="0034347A">
        <w:rPr>
          <w:rFonts w:ascii="Arial" w:eastAsia="Times New Roman" w:hAnsi="Arial" w:cs="Arial"/>
          <w:sz w:val="24"/>
          <w:szCs w:val="20"/>
        </w:rPr>
        <w:t xml:space="preserve"> relied on by the Respondent is</w:t>
      </w:r>
      <w:r w:rsidRPr="0034347A">
        <w:rPr>
          <w:rFonts w:ascii="Arial" w:eastAsia="Times New Roman" w:hAnsi="Arial" w:cs="Arial"/>
          <w:sz w:val="24"/>
          <w:szCs w:val="20"/>
        </w:rPr>
        <w:t xml:space="preserve"> the disputed </w:t>
      </w:r>
      <w:r w:rsidR="008B2FE5" w:rsidRPr="0034347A">
        <w:rPr>
          <w:rFonts w:ascii="Arial" w:eastAsia="Times New Roman" w:hAnsi="Arial" w:cs="Arial"/>
          <w:sz w:val="24"/>
          <w:szCs w:val="20"/>
        </w:rPr>
        <w:t>(and I submit now discredited</w:t>
      </w:r>
      <w:r w:rsidR="00742469">
        <w:rPr>
          <w:rFonts w:ascii="Arial" w:eastAsia="Times New Roman" w:hAnsi="Arial" w:cs="Arial"/>
          <w:sz w:val="24"/>
          <w:szCs w:val="20"/>
        </w:rPr>
        <w:t>)</w:t>
      </w:r>
      <w:r w:rsidR="008B2FE5" w:rsidRPr="0034347A">
        <w:rPr>
          <w:rFonts w:ascii="Arial" w:eastAsia="Times New Roman" w:hAnsi="Arial" w:cs="Arial"/>
          <w:sz w:val="24"/>
          <w:szCs w:val="20"/>
        </w:rPr>
        <w:t xml:space="preserve"> </w:t>
      </w:r>
      <w:r w:rsidRPr="0034347A">
        <w:rPr>
          <w:rFonts w:ascii="Arial" w:eastAsia="Times New Roman" w:hAnsi="Arial" w:cs="Arial"/>
          <w:sz w:val="24"/>
          <w:szCs w:val="20"/>
        </w:rPr>
        <w:t xml:space="preserve">HCP </w:t>
      </w:r>
      <w:r w:rsidR="00C041D9" w:rsidRPr="0034347A">
        <w:rPr>
          <w:rFonts w:ascii="Arial" w:eastAsia="Times New Roman" w:hAnsi="Arial" w:cs="Arial"/>
          <w:sz w:val="24"/>
          <w:szCs w:val="20"/>
        </w:rPr>
        <w:t>report,</w:t>
      </w:r>
      <w:r w:rsidRPr="0034347A">
        <w:rPr>
          <w:rFonts w:ascii="Arial" w:eastAsia="Times New Roman" w:hAnsi="Arial" w:cs="Arial"/>
          <w:sz w:val="24"/>
          <w:szCs w:val="20"/>
        </w:rPr>
        <w:t xml:space="preserve"> but I am also reminded</w:t>
      </w:r>
      <w:r w:rsidR="008B2FE5" w:rsidRPr="0034347A">
        <w:rPr>
          <w:rFonts w:ascii="Arial" w:eastAsia="Times New Roman" w:hAnsi="Arial" w:cs="Arial"/>
          <w:sz w:val="24"/>
          <w:szCs w:val="20"/>
        </w:rPr>
        <w:t xml:space="preserve"> that this </w:t>
      </w:r>
      <w:r w:rsidR="000E31C3" w:rsidRPr="0034347A">
        <w:rPr>
          <w:rFonts w:ascii="Arial" w:eastAsia="Times New Roman" w:hAnsi="Arial" w:cs="Arial"/>
          <w:sz w:val="24"/>
          <w:szCs w:val="20"/>
        </w:rPr>
        <w:t>piece</w:t>
      </w:r>
      <w:r w:rsidR="0034347A" w:rsidRPr="0034347A">
        <w:rPr>
          <w:rFonts w:ascii="Arial" w:eastAsia="Times New Roman" w:hAnsi="Arial" w:cs="Arial"/>
          <w:sz w:val="24"/>
          <w:szCs w:val="20"/>
        </w:rPr>
        <w:t xml:space="preserve"> of evidence is in the main what the Respondent concedes were “informal observations”</w:t>
      </w:r>
    </w:p>
    <w:p w14:paraId="2E7708F5" w14:textId="77777777" w:rsidR="0034347A" w:rsidRPr="0034347A" w:rsidRDefault="0034347A" w:rsidP="0034347A">
      <w:pPr>
        <w:pStyle w:val="ListParagraph"/>
        <w:ind w:left="1676" w:right="413"/>
        <w:rPr>
          <w:rFonts w:ascii="Arial" w:eastAsia="Times New Roman" w:hAnsi="Arial" w:cs="Arial"/>
          <w:sz w:val="24"/>
          <w:szCs w:val="20"/>
        </w:rPr>
      </w:pPr>
    </w:p>
    <w:p w14:paraId="5EED3752" w14:textId="39666FC2" w:rsidR="0034347A" w:rsidRDefault="0034347A" w:rsidP="0034347A">
      <w:pPr>
        <w:pStyle w:val="ListParagraph"/>
        <w:numPr>
          <w:ilvl w:val="1"/>
          <w:numId w:val="23"/>
        </w:numPr>
        <w:ind w:right="413"/>
        <w:rPr>
          <w:rFonts w:ascii="Arial" w:eastAsia="Times New Roman" w:hAnsi="Arial" w:cs="Arial"/>
          <w:sz w:val="24"/>
          <w:szCs w:val="20"/>
        </w:rPr>
      </w:pPr>
      <w:r>
        <w:rPr>
          <w:rFonts w:ascii="Arial" w:eastAsia="Times New Roman" w:hAnsi="Arial" w:cs="Arial"/>
          <w:sz w:val="24"/>
          <w:szCs w:val="20"/>
        </w:rPr>
        <w:t xml:space="preserve">The HCP did not put those observations to Mr </w:t>
      </w:r>
      <w:r w:rsidR="00394A17">
        <w:rPr>
          <w:rFonts w:ascii="Arial" w:eastAsia="Times New Roman" w:hAnsi="Arial" w:cs="Arial"/>
          <w:sz w:val="24"/>
          <w:szCs w:val="20"/>
        </w:rPr>
        <w:t>X</w:t>
      </w:r>
      <w:r>
        <w:rPr>
          <w:rFonts w:ascii="Arial" w:eastAsia="Times New Roman" w:hAnsi="Arial" w:cs="Arial"/>
          <w:sz w:val="24"/>
          <w:szCs w:val="20"/>
        </w:rPr>
        <w:t xml:space="preserve"> when she made them and Ms </w:t>
      </w:r>
      <w:r w:rsidR="009C16C5">
        <w:rPr>
          <w:rFonts w:ascii="Arial" w:eastAsia="Times New Roman" w:hAnsi="Arial" w:cs="Arial"/>
          <w:sz w:val="24"/>
          <w:szCs w:val="20"/>
        </w:rPr>
        <w:t>Y</w:t>
      </w:r>
      <w:r>
        <w:rPr>
          <w:rFonts w:ascii="Arial" w:eastAsia="Times New Roman" w:hAnsi="Arial" w:cs="Arial"/>
          <w:sz w:val="24"/>
          <w:szCs w:val="20"/>
        </w:rPr>
        <w:t xml:space="preserve"> </w:t>
      </w:r>
      <w:r w:rsidR="000E31C3">
        <w:rPr>
          <w:rFonts w:ascii="Arial" w:eastAsia="Times New Roman" w:hAnsi="Arial" w:cs="Arial"/>
          <w:sz w:val="24"/>
          <w:szCs w:val="20"/>
        </w:rPr>
        <w:t xml:space="preserve">( who was present at the assessment) </w:t>
      </w:r>
      <w:r>
        <w:rPr>
          <w:rFonts w:ascii="Arial" w:eastAsia="Times New Roman" w:hAnsi="Arial" w:cs="Arial"/>
          <w:sz w:val="24"/>
          <w:szCs w:val="20"/>
        </w:rPr>
        <w:t xml:space="preserve">will also confirm that some of the so called clinical findings such as shoulder abduction were not clinical findings at all but were also mere informal observations (arguably also wild guesses in view of the HCP’s gross over estimation of Mr </w:t>
      </w:r>
      <w:r w:rsidR="00394A17">
        <w:rPr>
          <w:rFonts w:ascii="Arial" w:eastAsia="Times New Roman" w:hAnsi="Arial" w:cs="Arial"/>
          <w:sz w:val="24"/>
          <w:szCs w:val="20"/>
        </w:rPr>
        <w:t>X</w:t>
      </w:r>
      <w:r>
        <w:rPr>
          <w:rFonts w:ascii="Arial" w:eastAsia="Times New Roman" w:hAnsi="Arial" w:cs="Arial"/>
          <w:sz w:val="24"/>
          <w:szCs w:val="20"/>
        </w:rPr>
        <w:t>’s weight)</w:t>
      </w:r>
    </w:p>
    <w:p w14:paraId="3B3F38E7" w14:textId="77777777" w:rsidR="0034347A" w:rsidRPr="0034347A" w:rsidRDefault="0034347A" w:rsidP="0034347A">
      <w:pPr>
        <w:pStyle w:val="ListParagraph"/>
        <w:rPr>
          <w:rFonts w:ascii="Arial" w:eastAsia="Times New Roman" w:hAnsi="Arial" w:cs="Arial"/>
          <w:sz w:val="24"/>
          <w:szCs w:val="20"/>
        </w:rPr>
      </w:pPr>
    </w:p>
    <w:p w14:paraId="79E0AC4F" w14:textId="3A7388AB" w:rsidR="0034347A" w:rsidRDefault="0034347A" w:rsidP="0034347A">
      <w:pPr>
        <w:pStyle w:val="ListParagraph"/>
        <w:numPr>
          <w:ilvl w:val="1"/>
          <w:numId w:val="23"/>
        </w:numPr>
        <w:ind w:right="413"/>
        <w:rPr>
          <w:rFonts w:ascii="Arial" w:eastAsia="Times New Roman" w:hAnsi="Arial" w:cs="Arial"/>
          <w:b/>
          <w:bCs/>
          <w:sz w:val="24"/>
          <w:szCs w:val="20"/>
        </w:rPr>
      </w:pPr>
      <w:r w:rsidRPr="0034347A">
        <w:rPr>
          <w:rFonts w:ascii="Arial" w:eastAsia="Times New Roman" w:hAnsi="Arial" w:cs="Arial"/>
          <w:b/>
          <w:bCs/>
          <w:sz w:val="24"/>
          <w:szCs w:val="20"/>
        </w:rPr>
        <w:t xml:space="preserve">It is strongly arguable that the so-called informal observations routinely made by HCP’s are not acceptable unless those observations are put to claimants at the time </w:t>
      </w:r>
    </w:p>
    <w:p w14:paraId="57E8D8E6" w14:textId="77777777" w:rsidR="0034347A" w:rsidRPr="0034347A" w:rsidRDefault="0034347A" w:rsidP="0034347A">
      <w:pPr>
        <w:pStyle w:val="ListParagraph"/>
        <w:rPr>
          <w:rFonts w:ascii="Arial" w:eastAsia="Times New Roman" w:hAnsi="Arial" w:cs="Arial"/>
          <w:b/>
          <w:bCs/>
          <w:sz w:val="24"/>
          <w:szCs w:val="20"/>
        </w:rPr>
      </w:pPr>
    </w:p>
    <w:p w14:paraId="14B6B637" w14:textId="15C15AC9" w:rsidR="008B2FE5" w:rsidRDefault="0034347A" w:rsidP="00C041D9">
      <w:pPr>
        <w:pStyle w:val="ListParagraph"/>
        <w:numPr>
          <w:ilvl w:val="1"/>
          <w:numId w:val="23"/>
        </w:numPr>
        <w:ind w:left="1418" w:right="413" w:hanging="567"/>
        <w:rPr>
          <w:rFonts w:ascii="Arial" w:eastAsia="Times New Roman" w:hAnsi="Arial" w:cs="Arial"/>
          <w:sz w:val="24"/>
          <w:szCs w:val="20"/>
        </w:rPr>
      </w:pPr>
      <w:r w:rsidRPr="0034347A">
        <w:rPr>
          <w:rFonts w:ascii="Arial" w:eastAsia="Times New Roman" w:hAnsi="Arial" w:cs="Arial"/>
          <w:sz w:val="24"/>
          <w:szCs w:val="20"/>
        </w:rPr>
        <w:t xml:space="preserve">I submit that the above is a well-established principle </w:t>
      </w:r>
      <w:r>
        <w:rPr>
          <w:rFonts w:ascii="Arial" w:eastAsia="Times New Roman" w:hAnsi="Arial" w:cs="Arial"/>
          <w:sz w:val="24"/>
          <w:szCs w:val="20"/>
        </w:rPr>
        <w:t xml:space="preserve">that has long been supported by the former Commissioners and the Upper Tribunal.  </w:t>
      </w:r>
      <w:r w:rsidR="00D74675">
        <w:rPr>
          <w:rFonts w:ascii="Arial" w:eastAsia="Times New Roman" w:hAnsi="Arial" w:cs="Arial"/>
          <w:sz w:val="24"/>
          <w:szCs w:val="20"/>
        </w:rPr>
        <w:t>The principle was affirmed in</w:t>
      </w:r>
      <w:r>
        <w:rPr>
          <w:rFonts w:ascii="Arial" w:eastAsia="Times New Roman" w:hAnsi="Arial" w:cs="Arial"/>
          <w:sz w:val="24"/>
          <w:szCs w:val="20"/>
        </w:rPr>
        <w:t xml:space="preserve"> the old Incapacity benefit context in CIB/</w:t>
      </w:r>
      <w:r w:rsidR="00D74675">
        <w:rPr>
          <w:rFonts w:ascii="Arial" w:eastAsia="Times New Roman" w:hAnsi="Arial" w:cs="Arial"/>
          <w:sz w:val="24"/>
          <w:szCs w:val="20"/>
        </w:rPr>
        <w:t>1235/1997 where Mr Commissioner (as then was) Williams held at [7]</w:t>
      </w:r>
    </w:p>
    <w:p w14:paraId="089A305B" w14:textId="77777777" w:rsidR="00D74675" w:rsidRPr="00D74675" w:rsidRDefault="00D74675" w:rsidP="00D74675">
      <w:pPr>
        <w:pStyle w:val="ListParagraph"/>
        <w:rPr>
          <w:rFonts w:ascii="Arial" w:eastAsia="Times New Roman" w:hAnsi="Arial" w:cs="Arial"/>
          <w:sz w:val="24"/>
          <w:szCs w:val="20"/>
        </w:rPr>
      </w:pPr>
    </w:p>
    <w:p w14:paraId="7A4A1F28" w14:textId="5CE821F5" w:rsidR="00D74675" w:rsidRDefault="00D74675" w:rsidP="00D74675">
      <w:pPr>
        <w:pStyle w:val="ListParagraph"/>
        <w:ind w:left="2552" w:right="413"/>
        <w:rPr>
          <w:rFonts w:ascii="Arial" w:eastAsia="Times New Roman" w:hAnsi="Arial" w:cs="Arial"/>
          <w:sz w:val="24"/>
          <w:szCs w:val="20"/>
        </w:rPr>
      </w:pPr>
      <w:r>
        <w:rPr>
          <w:rFonts w:ascii="Arial" w:eastAsia="Times New Roman" w:hAnsi="Arial" w:cs="Arial"/>
          <w:sz w:val="24"/>
          <w:szCs w:val="20"/>
        </w:rPr>
        <w:t>“….If the tribunal did use its observations….then it should, as a matter of natural justice have drawn this to the attention of the claimant or her representative so they could comment on any matter that had attracted the tribunal’s attention”</w:t>
      </w:r>
    </w:p>
    <w:p w14:paraId="19C8FAAC" w14:textId="77777777" w:rsidR="00D74675" w:rsidRPr="00D74675" w:rsidRDefault="00D74675" w:rsidP="00D74675">
      <w:pPr>
        <w:pStyle w:val="ListParagraph"/>
        <w:rPr>
          <w:rFonts w:ascii="Arial" w:eastAsia="Times New Roman" w:hAnsi="Arial" w:cs="Arial"/>
          <w:sz w:val="24"/>
          <w:szCs w:val="20"/>
        </w:rPr>
      </w:pPr>
    </w:p>
    <w:p w14:paraId="7B26C7B9" w14:textId="3DD26F6A" w:rsidR="00D74675" w:rsidRDefault="00D74675" w:rsidP="00C041D9">
      <w:pPr>
        <w:pStyle w:val="ListParagraph"/>
        <w:numPr>
          <w:ilvl w:val="1"/>
          <w:numId w:val="23"/>
        </w:numPr>
        <w:ind w:left="1418" w:right="413" w:hanging="567"/>
        <w:rPr>
          <w:rFonts w:ascii="Arial" w:eastAsia="Times New Roman" w:hAnsi="Arial" w:cs="Arial"/>
          <w:sz w:val="24"/>
          <w:szCs w:val="20"/>
        </w:rPr>
      </w:pPr>
      <w:r>
        <w:rPr>
          <w:rFonts w:ascii="Arial" w:eastAsia="Times New Roman" w:hAnsi="Arial" w:cs="Arial"/>
          <w:sz w:val="24"/>
          <w:szCs w:val="20"/>
        </w:rPr>
        <w:t>I see no reason why the standards outlined by Mr Commissioner Williams as they apply to Tribunals who stand in the shoes of decision makers should not apply equally to HCP’s who are delegated by the Respondent to make the initial assessments</w:t>
      </w:r>
    </w:p>
    <w:p w14:paraId="4D0903A8" w14:textId="77777777" w:rsidR="00D74675" w:rsidRDefault="00D74675" w:rsidP="00D74675">
      <w:pPr>
        <w:pStyle w:val="ListParagraph"/>
        <w:ind w:left="1418" w:right="413"/>
        <w:rPr>
          <w:rFonts w:ascii="Arial" w:eastAsia="Times New Roman" w:hAnsi="Arial" w:cs="Arial"/>
          <w:sz w:val="24"/>
          <w:szCs w:val="20"/>
        </w:rPr>
      </w:pPr>
    </w:p>
    <w:p w14:paraId="7D5FE8ED" w14:textId="4348AE72" w:rsidR="00D74675" w:rsidRPr="0034347A" w:rsidRDefault="00D74675" w:rsidP="00C041D9">
      <w:pPr>
        <w:pStyle w:val="ListParagraph"/>
        <w:numPr>
          <w:ilvl w:val="1"/>
          <w:numId w:val="23"/>
        </w:numPr>
        <w:ind w:left="1418" w:right="413" w:hanging="567"/>
        <w:rPr>
          <w:rFonts w:ascii="Arial" w:eastAsia="Times New Roman" w:hAnsi="Arial" w:cs="Arial"/>
          <w:sz w:val="24"/>
          <w:szCs w:val="20"/>
        </w:rPr>
      </w:pPr>
      <w:r>
        <w:rPr>
          <w:rFonts w:ascii="Arial" w:eastAsia="Times New Roman" w:hAnsi="Arial" w:cs="Arial"/>
          <w:sz w:val="24"/>
          <w:szCs w:val="20"/>
        </w:rPr>
        <w:t xml:space="preserve">I am in any case reminded that </w:t>
      </w:r>
      <w:r w:rsidR="009D7493">
        <w:rPr>
          <w:rFonts w:ascii="Arial" w:eastAsia="Times New Roman" w:hAnsi="Arial" w:cs="Arial"/>
          <w:sz w:val="24"/>
          <w:szCs w:val="20"/>
        </w:rPr>
        <w:t>Mr Commissioner Heggs noted in CM/166/1998 at [3] that pain can be born in stoic silence.</w:t>
      </w:r>
    </w:p>
    <w:p w14:paraId="0C49D786" w14:textId="09FF4903" w:rsidR="00C041D9" w:rsidRPr="00C041D9" w:rsidRDefault="00E83819" w:rsidP="00C041D9">
      <w:pPr>
        <w:ind w:left="1418" w:right="413" w:hanging="567"/>
        <w:rPr>
          <w:rFonts w:ascii="Arial" w:eastAsia="Times New Roman" w:hAnsi="Arial" w:cs="Arial"/>
          <w:sz w:val="24"/>
          <w:szCs w:val="24"/>
        </w:rPr>
      </w:pPr>
      <w:r>
        <w:rPr>
          <w:rFonts w:ascii="Arial" w:eastAsia="Times New Roman" w:hAnsi="Arial" w:cs="Arial"/>
          <w:sz w:val="24"/>
          <w:szCs w:val="20"/>
        </w:rPr>
        <w:t xml:space="preserve"> </w:t>
      </w:r>
      <w:r w:rsidR="009D7493">
        <w:rPr>
          <w:rFonts w:ascii="Arial" w:eastAsia="Times New Roman" w:hAnsi="Arial" w:cs="Arial"/>
          <w:sz w:val="24"/>
          <w:szCs w:val="20"/>
        </w:rPr>
        <w:t xml:space="preserve">14.7 I am also remined </w:t>
      </w:r>
      <w:r>
        <w:rPr>
          <w:rFonts w:ascii="Arial" w:eastAsia="Times New Roman" w:hAnsi="Arial" w:cs="Arial"/>
          <w:sz w:val="24"/>
          <w:szCs w:val="20"/>
        </w:rPr>
        <w:t xml:space="preserve">that in CDLA/0902/2004, Mr Commissioner (now </w:t>
      </w:r>
      <w:r w:rsidR="00494F7F">
        <w:rPr>
          <w:rFonts w:ascii="Arial" w:eastAsia="Times New Roman" w:hAnsi="Arial" w:cs="Arial"/>
          <w:sz w:val="24"/>
          <w:szCs w:val="20"/>
        </w:rPr>
        <w:t>Judge)</w:t>
      </w:r>
      <w:r>
        <w:rPr>
          <w:rFonts w:ascii="Arial" w:eastAsia="Times New Roman" w:hAnsi="Arial" w:cs="Arial"/>
          <w:sz w:val="24"/>
          <w:szCs w:val="20"/>
        </w:rPr>
        <w:t xml:space="preserve"> Jacobs </w:t>
      </w:r>
      <w:r w:rsidR="00C041D9">
        <w:rPr>
          <w:rFonts w:ascii="Arial" w:eastAsia="Times New Roman" w:hAnsi="Arial" w:cs="Arial"/>
          <w:sz w:val="24"/>
          <w:szCs w:val="20"/>
        </w:rPr>
        <w:t>held at [</w:t>
      </w:r>
      <w:r w:rsidR="00C041D9" w:rsidRPr="00C041D9">
        <w:rPr>
          <w:rFonts w:ascii="Arial" w:eastAsia="Times New Roman" w:hAnsi="Arial" w:cs="Arial"/>
          <w:sz w:val="24"/>
          <w:szCs w:val="24"/>
        </w:rPr>
        <w:t>14</w:t>
      </w:r>
      <w:r w:rsidR="00C041D9">
        <w:rPr>
          <w:rFonts w:ascii="Arial" w:eastAsia="Times New Roman" w:hAnsi="Arial" w:cs="Arial"/>
          <w:sz w:val="24"/>
          <w:szCs w:val="24"/>
        </w:rPr>
        <w:t>]</w:t>
      </w:r>
      <w:r w:rsidR="00C041D9" w:rsidRPr="00C041D9">
        <w:rPr>
          <w:rFonts w:ascii="Arial" w:eastAsia="Times New Roman" w:hAnsi="Arial" w:cs="Arial"/>
          <w:sz w:val="24"/>
          <w:szCs w:val="24"/>
        </w:rPr>
        <w:t>-</w:t>
      </w:r>
      <w:r w:rsidR="00C041D9">
        <w:rPr>
          <w:rFonts w:ascii="Arial" w:eastAsia="Times New Roman" w:hAnsi="Arial" w:cs="Arial"/>
          <w:sz w:val="24"/>
          <w:szCs w:val="24"/>
        </w:rPr>
        <w:t>[</w:t>
      </w:r>
      <w:r w:rsidR="00C041D9" w:rsidRPr="00C041D9">
        <w:rPr>
          <w:rFonts w:ascii="Arial" w:eastAsia="Times New Roman" w:hAnsi="Arial" w:cs="Arial"/>
          <w:sz w:val="24"/>
          <w:szCs w:val="24"/>
        </w:rPr>
        <w:t>15])</w:t>
      </w:r>
    </w:p>
    <w:p w14:paraId="07DDE5A2" w14:textId="77777777" w:rsidR="00C041D9" w:rsidRPr="00C041D9" w:rsidRDefault="00C041D9" w:rsidP="00C041D9">
      <w:pPr>
        <w:spacing w:after="0" w:line="240" w:lineRule="auto"/>
        <w:ind w:left="720" w:right="413"/>
        <w:rPr>
          <w:rFonts w:ascii="Arial" w:eastAsia="Times New Roman" w:hAnsi="Arial" w:cs="Arial"/>
          <w:sz w:val="24"/>
          <w:szCs w:val="24"/>
        </w:rPr>
      </w:pPr>
    </w:p>
    <w:p w14:paraId="66BF22EF" w14:textId="77777777" w:rsidR="00C041D9" w:rsidRPr="00C041D9" w:rsidRDefault="00C041D9" w:rsidP="00C041D9">
      <w:pPr>
        <w:autoSpaceDE w:val="0"/>
        <w:autoSpaceDN w:val="0"/>
        <w:adjustRightInd w:val="0"/>
        <w:spacing w:after="0" w:line="240" w:lineRule="auto"/>
        <w:ind w:left="1843" w:right="1418" w:hanging="142"/>
        <w:rPr>
          <w:rFonts w:ascii="Arial" w:eastAsia="Times New Roman" w:hAnsi="Arial" w:cs="Arial"/>
          <w:sz w:val="24"/>
          <w:szCs w:val="24"/>
        </w:rPr>
      </w:pPr>
      <w:r w:rsidRPr="00C041D9">
        <w:rPr>
          <w:rFonts w:ascii="Arial" w:eastAsia="Times New Roman" w:hAnsi="Arial" w:cs="Arial"/>
          <w:sz w:val="24"/>
          <w:szCs w:val="24"/>
        </w:rPr>
        <w:t>14 “Medical experts on pain no longer believe that there is a direct and proportionate relationship between (a) a disease or injury and (b) the nature and level of pain that a person experiences. This is reflected in the definition of pain by the International Association for the Study of Pain:</w:t>
      </w:r>
    </w:p>
    <w:p w14:paraId="4DAC15AC" w14:textId="77777777" w:rsidR="00C041D9" w:rsidRPr="00C041D9" w:rsidRDefault="00C041D9" w:rsidP="00C041D9">
      <w:pPr>
        <w:autoSpaceDE w:val="0"/>
        <w:autoSpaceDN w:val="0"/>
        <w:adjustRightInd w:val="0"/>
        <w:spacing w:after="0" w:line="240" w:lineRule="auto"/>
        <w:ind w:left="1843" w:right="1418" w:hanging="142"/>
        <w:rPr>
          <w:rFonts w:ascii="Arial" w:eastAsia="Times New Roman" w:hAnsi="Arial" w:cs="Arial"/>
          <w:sz w:val="24"/>
          <w:szCs w:val="24"/>
        </w:rPr>
      </w:pPr>
    </w:p>
    <w:p w14:paraId="5DC84212" w14:textId="77777777" w:rsidR="00C041D9" w:rsidRPr="00C041D9" w:rsidRDefault="00C041D9" w:rsidP="00C041D9">
      <w:pPr>
        <w:autoSpaceDE w:val="0"/>
        <w:autoSpaceDN w:val="0"/>
        <w:adjustRightInd w:val="0"/>
        <w:spacing w:after="0" w:line="240" w:lineRule="auto"/>
        <w:ind w:left="2552" w:right="1702"/>
        <w:rPr>
          <w:rFonts w:ascii="Arial" w:eastAsia="Times New Roman" w:hAnsi="Arial" w:cs="Arial"/>
          <w:sz w:val="24"/>
          <w:szCs w:val="24"/>
        </w:rPr>
      </w:pPr>
      <w:r w:rsidRPr="00C041D9">
        <w:rPr>
          <w:rFonts w:ascii="Arial" w:eastAsia="Times New Roman" w:hAnsi="Arial" w:cs="Arial"/>
          <w:sz w:val="24"/>
          <w:szCs w:val="24"/>
        </w:rPr>
        <w:t>‘An unpleasant sensory and emotional experience associated with actual or potential tissue damage or described in terms of such damage.’</w:t>
      </w:r>
    </w:p>
    <w:p w14:paraId="669B9D87" w14:textId="77777777" w:rsidR="00C041D9" w:rsidRPr="00C041D9" w:rsidRDefault="00C041D9" w:rsidP="00C041D9">
      <w:pPr>
        <w:autoSpaceDE w:val="0"/>
        <w:autoSpaceDN w:val="0"/>
        <w:adjustRightInd w:val="0"/>
        <w:spacing w:after="0" w:line="240" w:lineRule="auto"/>
        <w:ind w:left="1843" w:right="1702" w:hanging="142"/>
        <w:rPr>
          <w:rFonts w:ascii="Arial" w:eastAsia="Times New Roman" w:hAnsi="Arial" w:cs="Arial"/>
          <w:sz w:val="24"/>
          <w:szCs w:val="24"/>
        </w:rPr>
      </w:pPr>
    </w:p>
    <w:p w14:paraId="62B751BA" w14:textId="1BB7F407" w:rsidR="00E83819" w:rsidRDefault="00C041D9" w:rsidP="00C041D9">
      <w:pPr>
        <w:spacing w:after="0" w:line="240" w:lineRule="auto"/>
        <w:ind w:left="1843" w:right="555"/>
        <w:rPr>
          <w:rFonts w:ascii="Arial" w:eastAsia="Times New Roman" w:hAnsi="Arial" w:cs="Arial"/>
          <w:sz w:val="24"/>
          <w:szCs w:val="24"/>
        </w:rPr>
      </w:pPr>
      <w:r w:rsidRPr="00C041D9">
        <w:rPr>
          <w:rFonts w:ascii="Arial" w:eastAsia="Times New Roman" w:hAnsi="Arial" w:cs="Arial"/>
          <w:sz w:val="24"/>
          <w:szCs w:val="24"/>
        </w:rPr>
        <w:t xml:space="preserve">15 Now that those medical professionals who are expert in pain do not recognise a direct link between clinical findings and pain, it is no longer rational for tribunals to reason simply from the clinical findings on </w:t>
      </w:r>
      <w:r w:rsidRPr="00C041D9">
        <w:rPr>
          <w:rFonts w:ascii="Arial" w:eastAsia="Times New Roman" w:hAnsi="Arial" w:cs="Arial"/>
          <w:sz w:val="24"/>
          <w:szCs w:val="24"/>
        </w:rPr>
        <w:lastRenderedPageBreak/>
        <w:t>examination to the level of pain that a claimant experiences. Tribunals must investigate the evidence of the claimant’s pain and explain how they have dealt with it. As there is no direct causal link between disease or injury and pain, the only direct evidence of pain can come from the claimant</w:t>
      </w:r>
    </w:p>
    <w:p w14:paraId="7B196F54" w14:textId="77777777" w:rsidR="00494F7F" w:rsidRDefault="00494F7F" w:rsidP="00C041D9">
      <w:pPr>
        <w:spacing w:after="0" w:line="240" w:lineRule="auto"/>
        <w:ind w:left="1843" w:right="555"/>
        <w:rPr>
          <w:rFonts w:ascii="Arial" w:eastAsia="Times New Roman" w:hAnsi="Arial" w:cs="Arial"/>
          <w:sz w:val="24"/>
          <w:szCs w:val="24"/>
        </w:rPr>
      </w:pPr>
    </w:p>
    <w:p w14:paraId="1FF7BB47" w14:textId="5591950A" w:rsidR="00535636" w:rsidRDefault="00535636" w:rsidP="00535636">
      <w:pPr>
        <w:pStyle w:val="ListParagraph"/>
        <w:numPr>
          <w:ilvl w:val="1"/>
          <w:numId w:val="27"/>
        </w:numPr>
        <w:spacing w:after="0" w:line="240" w:lineRule="auto"/>
        <w:ind w:left="1418" w:right="555" w:hanging="825"/>
        <w:rPr>
          <w:rFonts w:ascii="Arial" w:eastAsia="Times New Roman" w:hAnsi="Arial" w:cs="Arial"/>
          <w:sz w:val="24"/>
          <w:szCs w:val="20"/>
        </w:rPr>
      </w:pPr>
      <w:r w:rsidRPr="00535636">
        <w:rPr>
          <w:rFonts w:ascii="Arial" w:eastAsia="Times New Roman" w:hAnsi="Arial" w:cs="Arial"/>
          <w:sz w:val="24"/>
          <w:szCs w:val="20"/>
        </w:rPr>
        <w:t xml:space="preserve"> It is acknowledged that a person’s perception of pain may be increased by psychological factors such as anxiety or depression.  In R(DLA) 4/06 the Tribunal of Commissioners noted at [ 102]</w:t>
      </w:r>
    </w:p>
    <w:p w14:paraId="51AC2EF0" w14:textId="77777777" w:rsidR="00535636" w:rsidRPr="00535636" w:rsidRDefault="00535636" w:rsidP="00535636">
      <w:pPr>
        <w:pStyle w:val="ListParagraph"/>
        <w:spacing w:after="0" w:line="240" w:lineRule="auto"/>
        <w:ind w:left="1676" w:right="555"/>
        <w:rPr>
          <w:rFonts w:ascii="Arial" w:eastAsia="Times New Roman" w:hAnsi="Arial" w:cs="Arial"/>
          <w:sz w:val="24"/>
          <w:szCs w:val="20"/>
        </w:rPr>
      </w:pPr>
    </w:p>
    <w:p w14:paraId="130638A9" w14:textId="6F5EDA94" w:rsidR="00535636" w:rsidRDefault="00535636" w:rsidP="00535636">
      <w:pPr>
        <w:pStyle w:val="ListParagraph"/>
        <w:spacing w:after="0" w:line="240" w:lineRule="auto"/>
        <w:ind w:left="2268" w:right="555"/>
        <w:rPr>
          <w:rFonts w:ascii="Arial" w:eastAsia="Times New Roman" w:hAnsi="Arial" w:cs="Arial"/>
          <w:sz w:val="24"/>
          <w:szCs w:val="20"/>
        </w:rPr>
      </w:pPr>
      <w:r w:rsidRPr="00535636">
        <w:rPr>
          <w:rFonts w:ascii="Arial" w:eastAsia="Times New Roman" w:hAnsi="Arial" w:cs="Arial"/>
          <w:sz w:val="24"/>
          <w:szCs w:val="20"/>
        </w:rPr>
        <w:t>…. For example, commonly a claimant has some physical disorder (eg a disc problem) but owing to psychological problems (or “psychogenic overlay”) experiences physical symptoms to a substantially greater extent than would have been expected as a result of the physical disorder alone.”</w:t>
      </w:r>
    </w:p>
    <w:p w14:paraId="24F45D46" w14:textId="77777777" w:rsidR="00535636" w:rsidRDefault="00535636" w:rsidP="00535636">
      <w:pPr>
        <w:pStyle w:val="ListParagraph"/>
        <w:spacing w:after="0" w:line="240" w:lineRule="auto"/>
        <w:ind w:left="1676" w:right="555"/>
        <w:rPr>
          <w:rFonts w:ascii="Arial" w:eastAsia="Times New Roman" w:hAnsi="Arial" w:cs="Arial"/>
          <w:sz w:val="24"/>
          <w:szCs w:val="20"/>
        </w:rPr>
      </w:pPr>
    </w:p>
    <w:p w14:paraId="043DED1B" w14:textId="0F209D8C" w:rsidR="00187ED1" w:rsidRDefault="009D7493" w:rsidP="00535636">
      <w:pPr>
        <w:pStyle w:val="ListParagraph"/>
        <w:numPr>
          <w:ilvl w:val="1"/>
          <w:numId w:val="27"/>
        </w:numPr>
        <w:spacing w:after="0" w:line="240" w:lineRule="auto"/>
        <w:ind w:left="1418" w:right="555" w:hanging="967"/>
        <w:rPr>
          <w:rFonts w:ascii="Arial" w:eastAsia="Times New Roman" w:hAnsi="Arial" w:cs="Arial"/>
          <w:sz w:val="24"/>
          <w:szCs w:val="20"/>
        </w:rPr>
      </w:pPr>
      <w:r w:rsidRPr="009D7493">
        <w:rPr>
          <w:rFonts w:ascii="Arial" w:eastAsia="Times New Roman" w:hAnsi="Arial" w:cs="Arial"/>
          <w:sz w:val="24"/>
          <w:szCs w:val="20"/>
        </w:rPr>
        <w:t xml:space="preserve">Judge Jacobs also considered the use of </w:t>
      </w:r>
      <w:r w:rsidR="00E466D8" w:rsidRPr="009D7493">
        <w:rPr>
          <w:rFonts w:ascii="Arial" w:eastAsia="Times New Roman" w:hAnsi="Arial" w:cs="Arial"/>
          <w:sz w:val="24"/>
          <w:szCs w:val="20"/>
        </w:rPr>
        <w:t>pain-relieving</w:t>
      </w:r>
      <w:r w:rsidRPr="009D7493">
        <w:rPr>
          <w:rFonts w:ascii="Arial" w:eastAsia="Times New Roman" w:hAnsi="Arial" w:cs="Arial"/>
          <w:sz w:val="24"/>
          <w:szCs w:val="20"/>
        </w:rPr>
        <w:t xml:space="preserve"> medication and held at [24]</w:t>
      </w:r>
    </w:p>
    <w:p w14:paraId="7467545A" w14:textId="3B1BE94C" w:rsidR="009D7493" w:rsidRDefault="009D7493" w:rsidP="009D7493">
      <w:pPr>
        <w:pStyle w:val="ListParagraph"/>
        <w:spacing w:after="0" w:line="240" w:lineRule="auto"/>
        <w:ind w:left="1676" w:right="555"/>
        <w:rPr>
          <w:rFonts w:ascii="Arial" w:eastAsia="Times New Roman" w:hAnsi="Arial" w:cs="Arial"/>
          <w:sz w:val="24"/>
          <w:szCs w:val="20"/>
        </w:rPr>
      </w:pPr>
    </w:p>
    <w:p w14:paraId="6FDA414D" w14:textId="77777777" w:rsidR="009D7493" w:rsidRPr="009D7493" w:rsidRDefault="009D7493" w:rsidP="009D7493">
      <w:pPr>
        <w:autoSpaceDE w:val="0"/>
        <w:autoSpaceDN w:val="0"/>
        <w:adjustRightInd w:val="0"/>
        <w:spacing w:after="0" w:line="240" w:lineRule="auto"/>
        <w:ind w:left="1134"/>
        <w:rPr>
          <w:rFonts w:ascii="Arial" w:eastAsia="Times New Roman" w:hAnsi="Arial" w:cs="Arial"/>
          <w:sz w:val="24"/>
          <w:szCs w:val="24"/>
        </w:rPr>
      </w:pPr>
    </w:p>
    <w:p w14:paraId="23082621" w14:textId="77777777" w:rsidR="009D7493" w:rsidRPr="009D7493" w:rsidRDefault="009D7493" w:rsidP="009D7493">
      <w:pPr>
        <w:autoSpaceDE w:val="0"/>
        <w:autoSpaceDN w:val="0"/>
        <w:adjustRightInd w:val="0"/>
        <w:spacing w:after="0" w:line="240" w:lineRule="auto"/>
        <w:ind w:left="2694"/>
        <w:rPr>
          <w:rFonts w:ascii="Arial" w:eastAsia="Times New Roman" w:hAnsi="Arial" w:cs="Arial"/>
          <w:sz w:val="24"/>
          <w:szCs w:val="24"/>
        </w:rPr>
      </w:pPr>
      <w:r w:rsidRPr="009D7493">
        <w:rPr>
          <w:rFonts w:ascii="Arial" w:eastAsia="Times New Roman" w:hAnsi="Arial" w:cs="Arial"/>
          <w:sz w:val="24"/>
          <w:szCs w:val="24"/>
        </w:rPr>
        <w:t xml:space="preserve">The claimant’s medication </w:t>
      </w:r>
    </w:p>
    <w:p w14:paraId="0AAB7CE9" w14:textId="77777777" w:rsidR="009D7493" w:rsidRPr="009D7493" w:rsidRDefault="009D7493" w:rsidP="009D7493">
      <w:pPr>
        <w:autoSpaceDE w:val="0"/>
        <w:autoSpaceDN w:val="0"/>
        <w:adjustRightInd w:val="0"/>
        <w:spacing w:after="0" w:line="240" w:lineRule="auto"/>
        <w:ind w:left="2694"/>
        <w:rPr>
          <w:rFonts w:ascii="Arial" w:eastAsia="Times New Roman" w:hAnsi="Arial" w:cs="Arial"/>
          <w:sz w:val="24"/>
          <w:szCs w:val="24"/>
        </w:rPr>
      </w:pPr>
    </w:p>
    <w:p w14:paraId="6FE39D9B" w14:textId="77777777" w:rsidR="009D7493" w:rsidRPr="009D7493" w:rsidRDefault="009D7493" w:rsidP="009D7493">
      <w:pPr>
        <w:autoSpaceDE w:val="0"/>
        <w:autoSpaceDN w:val="0"/>
        <w:adjustRightInd w:val="0"/>
        <w:spacing w:after="0" w:line="240" w:lineRule="auto"/>
        <w:ind w:left="2694" w:right="2681"/>
        <w:rPr>
          <w:rFonts w:ascii="Arial" w:eastAsia="Times New Roman" w:hAnsi="Arial" w:cs="Arial"/>
          <w:sz w:val="24"/>
          <w:szCs w:val="24"/>
        </w:rPr>
      </w:pPr>
      <w:r w:rsidRPr="009D7493">
        <w:rPr>
          <w:rFonts w:ascii="Arial" w:eastAsia="Times New Roman" w:hAnsi="Arial" w:cs="Arial"/>
          <w:sz w:val="24"/>
          <w:szCs w:val="24"/>
        </w:rPr>
        <w:t>24.</w:t>
      </w:r>
      <w:r w:rsidRPr="009D7493">
        <w:rPr>
          <w:rFonts w:ascii="Arial" w:eastAsia="Times New Roman" w:hAnsi="Arial" w:cs="Arial"/>
          <w:sz w:val="24"/>
          <w:szCs w:val="24"/>
        </w:rPr>
        <w:tab/>
        <w:t>The nature and dosage of medication may be an indicator of a claimant’s pain. If the medication is not consistent with the level of pain described by the claimant, the tribunal must investigate as far as it can. There may be a credible explanation for an apparent discrepancy. It is not unknown for claimants to dislike taking medication for a prolonged period. And some pains respond better to medication than others. On the other hand, it is also not unknown for GPs to over-prescribe.</w:t>
      </w:r>
    </w:p>
    <w:p w14:paraId="55184038" w14:textId="77777777" w:rsidR="009D7493" w:rsidRDefault="009D7493" w:rsidP="009D7493">
      <w:pPr>
        <w:pStyle w:val="ListParagraph"/>
        <w:spacing w:after="0" w:line="240" w:lineRule="auto"/>
        <w:ind w:left="1985" w:right="555"/>
        <w:rPr>
          <w:rFonts w:ascii="Arial" w:eastAsia="Times New Roman" w:hAnsi="Arial" w:cs="Arial"/>
          <w:sz w:val="24"/>
          <w:szCs w:val="20"/>
        </w:rPr>
      </w:pPr>
    </w:p>
    <w:p w14:paraId="4D94FB20" w14:textId="77777777" w:rsidR="002462D2" w:rsidRPr="002F43FD" w:rsidRDefault="002462D2" w:rsidP="00535636">
      <w:pPr>
        <w:pStyle w:val="ListParagraph"/>
        <w:numPr>
          <w:ilvl w:val="1"/>
          <w:numId w:val="27"/>
        </w:numPr>
        <w:spacing w:after="0" w:line="240" w:lineRule="auto"/>
        <w:ind w:right="271"/>
        <w:rPr>
          <w:rFonts w:ascii="Arial" w:eastAsia="Times New Roman" w:hAnsi="Arial" w:cs="Arial"/>
          <w:sz w:val="24"/>
          <w:szCs w:val="24"/>
        </w:rPr>
      </w:pPr>
      <w:r w:rsidRPr="002F43FD">
        <w:rPr>
          <w:rFonts w:ascii="Arial" w:eastAsia="Times New Roman" w:hAnsi="Arial" w:cs="Arial"/>
          <w:sz w:val="24"/>
          <w:szCs w:val="24"/>
        </w:rPr>
        <w:t>Judge Jacobs’ observations at [24] are now particularly pertinent in the light of Public Health England’s (PHE) report “Dependence and withdrawal associated with some prescribed medicines an evidence review”, (September 2019) and the subsequent guidance from the DWP to HCP’s undertaking PIP and WCA reports.  The DWP issued the following guidance to HCP’s following the PHE report</w:t>
      </w:r>
    </w:p>
    <w:p w14:paraId="6772E492" w14:textId="77777777" w:rsidR="002462D2" w:rsidRPr="002F43FD" w:rsidRDefault="002462D2" w:rsidP="002462D2">
      <w:pPr>
        <w:spacing w:after="0" w:line="240" w:lineRule="auto"/>
        <w:ind w:left="1069" w:right="271"/>
        <w:rPr>
          <w:rFonts w:ascii="Arial" w:eastAsia="Times New Roman" w:hAnsi="Arial" w:cs="Arial"/>
          <w:sz w:val="24"/>
          <w:szCs w:val="24"/>
        </w:rPr>
      </w:pPr>
    </w:p>
    <w:p w14:paraId="3DB7AF19" w14:textId="77777777" w:rsidR="002462D2" w:rsidRPr="002F43FD" w:rsidRDefault="002462D2" w:rsidP="002462D2">
      <w:pPr>
        <w:spacing w:after="0" w:line="240" w:lineRule="auto"/>
        <w:ind w:left="2694" w:right="271"/>
        <w:rPr>
          <w:rFonts w:ascii="Arial" w:eastAsia="Times New Roman" w:hAnsi="Arial" w:cs="Arial"/>
          <w:sz w:val="24"/>
          <w:szCs w:val="24"/>
          <w:lang w:val="en"/>
        </w:rPr>
      </w:pPr>
      <w:r w:rsidRPr="002F43FD">
        <w:rPr>
          <w:rFonts w:ascii="Arial" w:eastAsia="Times New Roman" w:hAnsi="Arial" w:cs="Arial"/>
          <w:sz w:val="24"/>
          <w:szCs w:val="24"/>
          <w:lang w:val="en"/>
        </w:rPr>
        <w:t xml:space="preserve">1.6.35 HPs must also take into consideration the invisible nature of some symptoms such as fatigue and pain which may be less easy to identify and explore through observation of the claimant. HPs should be mindful that the level of analgesia used does not necessarily correlate with the level of pain. GPs are encouraged to avoid prescribing strong painkillers for long-term pain as the harms usually outweigh the benefits and there could also be specific reasons why painkillers are not prescribed, for example intolerance, or the use of other methods of pain relief. When pain is a significant symptom we would expect the claimant to be able to describe the location, type, severity and variability of the pain they experience and the impact it </w:t>
      </w:r>
      <w:r w:rsidRPr="002F43FD">
        <w:rPr>
          <w:rFonts w:ascii="Arial" w:eastAsia="Times New Roman" w:hAnsi="Arial" w:cs="Arial"/>
          <w:sz w:val="24"/>
          <w:szCs w:val="24"/>
          <w:lang w:val="en"/>
        </w:rPr>
        <w:lastRenderedPageBreak/>
        <w:t>has on their daily life. The HP can assess the disabling effect of the pain by considering such description (where applicable) along with all other aspects of the case, for example disease activity/severity, effect on daily activities, treatment, pain relief, pain management strategies, examination findings and informal observations.</w:t>
      </w:r>
    </w:p>
    <w:p w14:paraId="4AC527CD" w14:textId="77777777" w:rsidR="002462D2" w:rsidRPr="002F43FD" w:rsidRDefault="002462D2" w:rsidP="002462D2">
      <w:pPr>
        <w:spacing w:after="0" w:line="240" w:lineRule="auto"/>
        <w:ind w:left="2694" w:right="271"/>
        <w:rPr>
          <w:rFonts w:ascii="Arial" w:eastAsia="Times New Roman" w:hAnsi="Arial" w:cs="Arial"/>
          <w:sz w:val="24"/>
          <w:szCs w:val="24"/>
          <w:lang w:val="en"/>
        </w:rPr>
      </w:pPr>
    </w:p>
    <w:p w14:paraId="0894B586" w14:textId="77777777" w:rsidR="002462D2" w:rsidRPr="002F43FD" w:rsidRDefault="002462D2" w:rsidP="002462D2">
      <w:pPr>
        <w:spacing w:after="0" w:line="240" w:lineRule="auto"/>
        <w:ind w:left="2694" w:right="271"/>
        <w:rPr>
          <w:rFonts w:ascii="Arial" w:eastAsia="Times New Roman" w:hAnsi="Arial" w:cs="Arial"/>
          <w:sz w:val="24"/>
          <w:szCs w:val="24"/>
        </w:rPr>
      </w:pPr>
      <w:r w:rsidRPr="002F43FD">
        <w:rPr>
          <w:rFonts w:ascii="Arial" w:eastAsia="Times New Roman" w:hAnsi="Arial" w:cs="Arial"/>
          <w:sz w:val="24"/>
          <w:szCs w:val="24"/>
        </w:rPr>
        <w:t xml:space="preserve">Source </w:t>
      </w:r>
    </w:p>
    <w:p w14:paraId="3C24658A" w14:textId="0552B90B" w:rsidR="009D7493" w:rsidRDefault="002462D2" w:rsidP="002462D2">
      <w:pPr>
        <w:pStyle w:val="ListParagraph"/>
        <w:spacing w:after="0" w:line="240" w:lineRule="auto"/>
        <w:ind w:left="2694" w:right="555"/>
        <w:rPr>
          <w:rFonts w:ascii="Arial" w:eastAsia="Times New Roman" w:hAnsi="Arial" w:cs="Arial"/>
          <w:color w:val="0563C1"/>
          <w:sz w:val="24"/>
          <w:szCs w:val="24"/>
          <w:u w:val="single"/>
        </w:rPr>
      </w:pPr>
      <w:r w:rsidRPr="002F43FD">
        <w:rPr>
          <w:rFonts w:ascii="Arial" w:eastAsia="Times New Roman" w:hAnsi="Arial" w:cs="Arial"/>
          <w:sz w:val="24"/>
          <w:szCs w:val="24"/>
        </w:rPr>
        <w:t xml:space="preserve"> </w:t>
      </w:r>
      <w:hyperlink r:id="rId9" w:history="1">
        <w:r w:rsidRPr="002F43FD">
          <w:rPr>
            <w:rFonts w:ascii="Arial" w:eastAsia="Times New Roman" w:hAnsi="Arial" w:cs="Arial"/>
            <w:color w:val="0563C1"/>
            <w:sz w:val="24"/>
            <w:szCs w:val="24"/>
            <w:u w:val="single"/>
          </w:rPr>
          <w:t>https://www.gov.uk/government/publications/personal-independence-payment-assessment-guide-for-assessment-providers/pip-assessment-guide-part-1-the-assessment-process</w:t>
        </w:r>
      </w:hyperlink>
    </w:p>
    <w:p w14:paraId="51918C00" w14:textId="77777777" w:rsidR="002462D2" w:rsidRPr="009D7493" w:rsidRDefault="002462D2" w:rsidP="002462D2">
      <w:pPr>
        <w:pStyle w:val="ListParagraph"/>
        <w:spacing w:after="0" w:line="240" w:lineRule="auto"/>
        <w:ind w:left="2694" w:right="555"/>
        <w:rPr>
          <w:rFonts w:ascii="Arial" w:eastAsia="Times New Roman" w:hAnsi="Arial" w:cs="Arial"/>
          <w:sz w:val="24"/>
          <w:szCs w:val="20"/>
        </w:rPr>
      </w:pPr>
    </w:p>
    <w:p w14:paraId="78D244E6" w14:textId="0E8A437D" w:rsidR="003C64E1" w:rsidRDefault="00742469" w:rsidP="00535636">
      <w:pPr>
        <w:pStyle w:val="ListParagraph"/>
        <w:numPr>
          <w:ilvl w:val="1"/>
          <w:numId w:val="27"/>
        </w:numPr>
        <w:spacing w:after="0" w:line="240" w:lineRule="auto"/>
        <w:ind w:right="555"/>
        <w:rPr>
          <w:rFonts w:ascii="Arial" w:eastAsia="Times New Roman" w:hAnsi="Arial" w:cs="Arial"/>
          <w:b/>
          <w:bCs/>
          <w:sz w:val="24"/>
          <w:szCs w:val="20"/>
        </w:rPr>
      </w:pPr>
      <w:r>
        <w:rPr>
          <w:rFonts w:ascii="Arial" w:eastAsia="Times New Roman" w:hAnsi="Arial" w:cs="Arial"/>
          <w:b/>
          <w:bCs/>
          <w:sz w:val="24"/>
          <w:szCs w:val="20"/>
        </w:rPr>
        <w:t xml:space="preserve">The above guidance was issued </w:t>
      </w:r>
      <w:r w:rsidR="003C64E1">
        <w:rPr>
          <w:rFonts w:ascii="Arial" w:eastAsia="Times New Roman" w:hAnsi="Arial" w:cs="Arial"/>
          <w:b/>
          <w:bCs/>
          <w:sz w:val="24"/>
          <w:szCs w:val="20"/>
        </w:rPr>
        <w:t xml:space="preserve">after the date of the decision in the </w:t>
      </w:r>
      <w:r w:rsidR="002462D2" w:rsidRPr="002462D2">
        <w:rPr>
          <w:rFonts w:ascii="Arial" w:eastAsia="Times New Roman" w:hAnsi="Arial" w:cs="Arial"/>
          <w:b/>
          <w:bCs/>
          <w:sz w:val="24"/>
          <w:szCs w:val="20"/>
        </w:rPr>
        <w:t>present case</w:t>
      </w:r>
      <w:r>
        <w:rPr>
          <w:rFonts w:ascii="Arial" w:eastAsia="Times New Roman" w:hAnsi="Arial" w:cs="Arial"/>
          <w:b/>
          <w:bCs/>
          <w:sz w:val="24"/>
          <w:szCs w:val="20"/>
        </w:rPr>
        <w:t>, but I submit that</w:t>
      </w:r>
      <w:r w:rsidR="003C64E1">
        <w:rPr>
          <w:rFonts w:ascii="Arial" w:eastAsia="Times New Roman" w:hAnsi="Arial" w:cs="Arial"/>
          <w:b/>
          <w:bCs/>
          <w:sz w:val="24"/>
          <w:szCs w:val="20"/>
        </w:rPr>
        <w:t xml:space="preserve"> </w:t>
      </w:r>
      <w:r w:rsidR="00E466D8">
        <w:rPr>
          <w:rFonts w:ascii="Arial" w:eastAsia="Times New Roman" w:hAnsi="Arial" w:cs="Arial"/>
          <w:b/>
          <w:bCs/>
          <w:sz w:val="24"/>
          <w:szCs w:val="20"/>
        </w:rPr>
        <w:t>it is</w:t>
      </w:r>
      <w:r w:rsidR="003C64E1">
        <w:rPr>
          <w:rFonts w:ascii="Arial" w:eastAsia="Times New Roman" w:hAnsi="Arial" w:cs="Arial"/>
          <w:b/>
          <w:bCs/>
          <w:sz w:val="24"/>
          <w:szCs w:val="20"/>
        </w:rPr>
        <w:t xml:space="preserve"> still relevant to the decision and should be accepted following R(DLA)2&amp;3/01.</w:t>
      </w:r>
    </w:p>
    <w:p w14:paraId="5DA8146D" w14:textId="77777777" w:rsidR="003C64E1" w:rsidRDefault="003C64E1" w:rsidP="003C64E1">
      <w:pPr>
        <w:pStyle w:val="ListParagraph"/>
        <w:spacing w:after="0" w:line="240" w:lineRule="auto"/>
        <w:ind w:left="1676" w:right="555"/>
        <w:rPr>
          <w:rFonts w:ascii="Arial" w:eastAsia="Times New Roman" w:hAnsi="Arial" w:cs="Arial"/>
          <w:b/>
          <w:bCs/>
          <w:sz w:val="24"/>
          <w:szCs w:val="20"/>
        </w:rPr>
      </w:pPr>
    </w:p>
    <w:p w14:paraId="1FAFA951" w14:textId="4054D82D" w:rsidR="002462D2" w:rsidRPr="002276AC" w:rsidRDefault="00742469" w:rsidP="002462D2">
      <w:pPr>
        <w:pStyle w:val="ListParagraph"/>
        <w:numPr>
          <w:ilvl w:val="1"/>
          <w:numId w:val="27"/>
        </w:numPr>
        <w:spacing w:after="0" w:line="240" w:lineRule="auto"/>
        <w:ind w:right="555"/>
        <w:rPr>
          <w:rFonts w:ascii="Arial" w:eastAsia="Times New Roman" w:hAnsi="Arial" w:cs="Arial"/>
          <w:sz w:val="24"/>
          <w:szCs w:val="20"/>
        </w:rPr>
      </w:pPr>
      <w:r w:rsidRPr="00E466D8">
        <w:rPr>
          <w:rFonts w:ascii="Arial" w:eastAsia="Times New Roman" w:hAnsi="Arial" w:cs="Arial"/>
          <w:b/>
          <w:bCs/>
          <w:sz w:val="24"/>
          <w:szCs w:val="20"/>
        </w:rPr>
        <w:t xml:space="preserve"> </w:t>
      </w:r>
      <w:r w:rsidR="003C64E1" w:rsidRPr="00E466D8">
        <w:rPr>
          <w:rFonts w:ascii="Arial" w:eastAsia="Times New Roman" w:hAnsi="Arial" w:cs="Arial"/>
          <w:b/>
          <w:bCs/>
          <w:sz w:val="24"/>
          <w:szCs w:val="20"/>
        </w:rPr>
        <w:t>P</w:t>
      </w:r>
      <w:r w:rsidRPr="00E466D8">
        <w:rPr>
          <w:rFonts w:ascii="Arial" w:eastAsia="Times New Roman" w:hAnsi="Arial" w:cs="Arial"/>
          <w:b/>
          <w:bCs/>
          <w:sz w:val="24"/>
          <w:szCs w:val="20"/>
        </w:rPr>
        <w:t xml:space="preserve">ain is a major factor affecting Mr </w:t>
      </w:r>
      <w:r w:rsidR="00394A17">
        <w:rPr>
          <w:rFonts w:ascii="Arial" w:eastAsia="Times New Roman" w:hAnsi="Arial" w:cs="Arial"/>
          <w:b/>
          <w:bCs/>
          <w:sz w:val="24"/>
          <w:szCs w:val="20"/>
        </w:rPr>
        <w:t>X</w:t>
      </w:r>
      <w:r w:rsidRPr="00E466D8">
        <w:rPr>
          <w:rFonts w:ascii="Arial" w:eastAsia="Times New Roman" w:hAnsi="Arial" w:cs="Arial"/>
          <w:b/>
          <w:bCs/>
          <w:sz w:val="24"/>
          <w:szCs w:val="20"/>
        </w:rPr>
        <w:t>’s daily living and his mobility</w:t>
      </w:r>
      <w:r w:rsidR="003C64E1" w:rsidRPr="00E466D8">
        <w:rPr>
          <w:rFonts w:ascii="Arial" w:eastAsia="Times New Roman" w:hAnsi="Arial" w:cs="Arial"/>
          <w:b/>
          <w:bCs/>
          <w:sz w:val="24"/>
          <w:szCs w:val="20"/>
        </w:rPr>
        <w:t xml:space="preserve"> and I ask the Tribunal to consider it in the light of the PHE report and the authorities I have cited. </w:t>
      </w:r>
    </w:p>
    <w:p w14:paraId="7B910EB1" w14:textId="77777777" w:rsidR="002276AC" w:rsidRPr="002276AC" w:rsidRDefault="002276AC" w:rsidP="002276AC">
      <w:pPr>
        <w:pStyle w:val="ListParagraph"/>
        <w:rPr>
          <w:rFonts w:ascii="Arial" w:eastAsia="Times New Roman" w:hAnsi="Arial" w:cs="Arial"/>
          <w:sz w:val="24"/>
          <w:szCs w:val="20"/>
        </w:rPr>
      </w:pPr>
    </w:p>
    <w:p w14:paraId="4FD42319" w14:textId="6A6CC0BB" w:rsidR="002462D2" w:rsidRDefault="002462D2" w:rsidP="00535636">
      <w:pPr>
        <w:numPr>
          <w:ilvl w:val="0"/>
          <w:numId w:val="27"/>
        </w:numPr>
        <w:spacing w:after="0" w:line="240" w:lineRule="auto"/>
        <w:ind w:left="851" w:right="555" w:hanging="425"/>
        <w:rPr>
          <w:rFonts w:ascii="Arial" w:eastAsia="Times New Roman" w:hAnsi="Arial" w:cs="Arial"/>
          <w:sz w:val="24"/>
          <w:szCs w:val="20"/>
        </w:rPr>
      </w:pPr>
      <w:r>
        <w:rPr>
          <w:rFonts w:ascii="Arial" w:eastAsia="Times New Roman" w:hAnsi="Arial" w:cs="Arial"/>
          <w:sz w:val="24"/>
          <w:szCs w:val="20"/>
        </w:rPr>
        <w:t xml:space="preserve">The HCP reports that Mr </w:t>
      </w:r>
      <w:r w:rsidR="00394A17">
        <w:rPr>
          <w:rFonts w:ascii="Arial" w:eastAsia="Times New Roman" w:hAnsi="Arial" w:cs="Arial"/>
          <w:sz w:val="24"/>
          <w:szCs w:val="20"/>
        </w:rPr>
        <w:t>X</w:t>
      </w:r>
      <w:r>
        <w:rPr>
          <w:rFonts w:ascii="Arial" w:eastAsia="Times New Roman" w:hAnsi="Arial" w:cs="Arial"/>
          <w:sz w:val="24"/>
          <w:szCs w:val="20"/>
        </w:rPr>
        <w:t xml:space="preserve"> takes no prescribed pain relief but Mr </w:t>
      </w:r>
      <w:r w:rsidR="00394A17">
        <w:rPr>
          <w:rFonts w:ascii="Arial" w:eastAsia="Times New Roman" w:hAnsi="Arial" w:cs="Arial"/>
          <w:sz w:val="24"/>
          <w:szCs w:val="20"/>
        </w:rPr>
        <w:t>X</w:t>
      </w:r>
      <w:r>
        <w:rPr>
          <w:rFonts w:ascii="Arial" w:eastAsia="Times New Roman" w:hAnsi="Arial" w:cs="Arial"/>
          <w:sz w:val="24"/>
          <w:szCs w:val="20"/>
        </w:rPr>
        <w:t xml:space="preserve"> states that he uses cannabis for pain relief.  Mr </w:t>
      </w:r>
      <w:r w:rsidR="00394A17">
        <w:rPr>
          <w:rFonts w:ascii="Arial" w:eastAsia="Times New Roman" w:hAnsi="Arial" w:cs="Arial"/>
          <w:sz w:val="24"/>
          <w:szCs w:val="20"/>
        </w:rPr>
        <w:t>X</w:t>
      </w:r>
      <w:r>
        <w:rPr>
          <w:rFonts w:ascii="Arial" w:eastAsia="Times New Roman" w:hAnsi="Arial" w:cs="Arial"/>
          <w:sz w:val="24"/>
          <w:szCs w:val="20"/>
        </w:rPr>
        <w:t xml:space="preserve"> is reported to say that it helps</w:t>
      </w:r>
    </w:p>
    <w:p w14:paraId="3A0EFE24" w14:textId="6C38807E" w:rsidR="002462D2" w:rsidRDefault="002462D2" w:rsidP="002462D2">
      <w:pPr>
        <w:spacing w:after="0" w:line="240" w:lineRule="auto"/>
        <w:ind w:left="720" w:right="555"/>
        <w:rPr>
          <w:rFonts w:ascii="Arial" w:eastAsia="Times New Roman" w:hAnsi="Arial" w:cs="Arial"/>
          <w:sz w:val="24"/>
          <w:szCs w:val="20"/>
        </w:rPr>
      </w:pPr>
    </w:p>
    <w:p w14:paraId="4EA664AC" w14:textId="25E981F4" w:rsidR="002462D2" w:rsidRPr="00535636" w:rsidRDefault="002462D2" w:rsidP="00535636">
      <w:pPr>
        <w:pStyle w:val="ListParagraph"/>
        <w:numPr>
          <w:ilvl w:val="1"/>
          <w:numId w:val="28"/>
        </w:numPr>
        <w:spacing w:after="0" w:line="240" w:lineRule="auto"/>
        <w:ind w:right="555"/>
        <w:rPr>
          <w:rFonts w:ascii="Arial" w:eastAsia="Times New Roman" w:hAnsi="Arial" w:cs="Arial"/>
          <w:sz w:val="24"/>
          <w:szCs w:val="20"/>
        </w:rPr>
      </w:pPr>
      <w:r w:rsidRPr="00535636">
        <w:rPr>
          <w:rFonts w:ascii="Arial" w:eastAsia="Times New Roman" w:hAnsi="Arial" w:cs="Arial"/>
          <w:sz w:val="24"/>
          <w:szCs w:val="20"/>
        </w:rPr>
        <w:t xml:space="preserve">The use of cannabis for pain relief is to say the least controversial and in Mr </w:t>
      </w:r>
      <w:r w:rsidR="00394A17">
        <w:rPr>
          <w:rFonts w:ascii="Arial" w:eastAsia="Times New Roman" w:hAnsi="Arial" w:cs="Arial"/>
          <w:sz w:val="24"/>
          <w:szCs w:val="20"/>
        </w:rPr>
        <w:t>X</w:t>
      </w:r>
      <w:r w:rsidRPr="00535636">
        <w:rPr>
          <w:rFonts w:ascii="Arial" w:eastAsia="Times New Roman" w:hAnsi="Arial" w:cs="Arial"/>
          <w:sz w:val="24"/>
          <w:szCs w:val="20"/>
        </w:rPr>
        <w:t>’s case I will concede that it is illegal.</w:t>
      </w:r>
    </w:p>
    <w:p w14:paraId="553D2FC4" w14:textId="77777777" w:rsidR="002462D2" w:rsidRPr="002462D2" w:rsidRDefault="002462D2" w:rsidP="002462D2">
      <w:pPr>
        <w:pStyle w:val="ListParagraph"/>
        <w:spacing w:after="0" w:line="240" w:lineRule="auto"/>
        <w:ind w:left="1676" w:right="555"/>
        <w:rPr>
          <w:rFonts w:ascii="Arial" w:eastAsia="Times New Roman" w:hAnsi="Arial" w:cs="Arial"/>
          <w:sz w:val="24"/>
          <w:szCs w:val="20"/>
        </w:rPr>
      </w:pPr>
    </w:p>
    <w:p w14:paraId="5D8C4FAF" w14:textId="619FDA33" w:rsidR="002462D2" w:rsidRDefault="002462D2" w:rsidP="00535636">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 xml:space="preserve">I </w:t>
      </w:r>
      <w:r w:rsidR="004B6CC6">
        <w:rPr>
          <w:rFonts w:ascii="Arial" w:eastAsia="Times New Roman" w:hAnsi="Arial" w:cs="Arial"/>
          <w:sz w:val="24"/>
          <w:szCs w:val="20"/>
        </w:rPr>
        <w:t>have nevertheless attached a copy of a scientific paper (</w:t>
      </w:r>
      <w:r w:rsidR="004B6CC6" w:rsidRPr="00C02391">
        <w:rPr>
          <w:rFonts w:ascii="Arial" w:eastAsia="Times New Roman" w:hAnsi="Arial" w:cs="Arial"/>
          <w:i/>
          <w:iCs/>
          <w:sz w:val="24"/>
          <w:szCs w:val="20"/>
        </w:rPr>
        <w:t>Whiting et al. Cannabinoids for Medical Use A Systematic Review and Meta-analysis Journal of the American Medical Association JAMA.2015;313(24):2456-2473.</w:t>
      </w:r>
      <w:r w:rsidR="004B6CC6">
        <w:rPr>
          <w:rFonts w:ascii="Arial" w:eastAsia="Times New Roman" w:hAnsi="Arial" w:cs="Arial"/>
          <w:sz w:val="24"/>
          <w:szCs w:val="20"/>
        </w:rPr>
        <w:t xml:space="preserve"> </w:t>
      </w:r>
      <w:r w:rsidR="00C02391">
        <w:rPr>
          <w:rFonts w:ascii="Arial" w:eastAsia="Times New Roman" w:hAnsi="Arial" w:cs="Arial"/>
          <w:sz w:val="24"/>
          <w:szCs w:val="20"/>
        </w:rPr>
        <w:t xml:space="preserve">) </w:t>
      </w:r>
      <w:r w:rsidR="004B6CC6">
        <w:rPr>
          <w:rFonts w:ascii="Arial" w:eastAsia="Times New Roman" w:hAnsi="Arial" w:cs="Arial"/>
          <w:sz w:val="24"/>
          <w:szCs w:val="20"/>
        </w:rPr>
        <w:t xml:space="preserve"> I can only say that whilst it must be conceded that the controversy continues, there is scientific evidence that cannabis can be an effective painkiller.</w:t>
      </w:r>
    </w:p>
    <w:p w14:paraId="73C66D4E" w14:textId="77777777" w:rsidR="004B6CC6" w:rsidRPr="004B6CC6" w:rsidRDefault="004B6CC6" w:rsidP="004B6CC6">
      <w:pPr>
        <w:pStyle w:val="ListParagraph"/>
        <w:rPr>
          <w:rFonts w:ascii="Arial" w:eastAsia="Times New Roman" w:hAnsi="Arial" w:cs="Arial"/>
          <w:sz w:val="24"/>
          <w:szCs w:val="20"/>
        </w:rPr>
      </w:pPr>
    </w:p>
    <w:p w14:paraId="6812B5A3" w14:textId="2BEB61F9" w:rsidR="007C4883" w:rsidRDefault="004B6CC6" w:rsidP="00535636">
      <w:pPr>
        <w:numPr>
          <w:ilvl w:val="0"/>
          <w:numId w:val="28"/>
        </w:numPr>
        <w:spacing w:after="0" w:line="240" w:lineRule="auto"/>
        <w:ind w:left="720" w:right="555"/>
        <w:rPr>
          <w:rFonts w:ascii="Arial" w:eastAsia="Times New Roman" w:hAnsi="Arial" w:cs="Arial"/>
          <w:sz w:val="24"/>
          <w:szCs w:val="20"/>
        </w:rPr>
      </w:pPr>
      <w:r w:rsidRPr="004B6CC6">
        <w:rPr>
          <w:rFonts w:ascii="Arial" w:eastAsia="Times New Roman" w:hAnsi="Arial" w:cs="Arial"/>
          <w:sz w:val="24"/>
          <w:szCs w:val="20"/>
        </w:rPr>
        <w:t xml:space="preserve">Ms </w:t>
      </w:r>
      <w:r w:rsidR="00FE33EB">
        <w:rPr>
          <w:rFonts w:ascii="Arial" w:eastAsia="Times New Roman" w:hAnsi="Arial" w:cs="Arial"/>
          <w:sz w:val="24"/>
          <w:szCs w:val="20"/>
        </w:rPr>
        <w:t xml:space="preserve">Y </w:t>
      </w:r>
      <w:r>
        <w:rPr>
          <w:rFonts w:ascii="Arial" w:eastAsia="Times New Roman" w:hAnsi="Arial" w:cs="Arial"/>
          <w:sz w:val="24"/>
          <w:szCs w:val="20"/>
        </w:rPr>
        <w:t xml:space="preserve"> notes (</w:t>
      </w:r>
      <w:r w:rsidRPr="004B6CC6">
        <w:rPr>
          <w:rFonts w:ascii="Arial" w:eastAsia="Times New Roman" w:hAnsi="Arial" w:cs="Arial"/>
          <w:b/>
          <w:bCs/>
          <w:sz w:val="24"/>
          <w:szCs w:val="20"/>
        </w:rPr>
        <w:t>p76 of the bundle</w:t>
      </w:r>
      <w:r>
        <w:rPr>
          <w:rFonts w:ascii="Arial" w:eastAsia="Times New Roman" w:hAnsi="Arial" w:cs="Arial"/>
          <w:sz w:val="24"/>
          <w:szCs w:val="20"/>
        </w:rPr>
        <w:t xml:space="preserve">) that Mr </w:t>
      </w:r>
      <w:r w:rsidR="00394A17">
        <w:rPr>
          <w:rFonts w:ascii="Arial" w:eastAsia="Times New Roman" w:hAnsi="Arial" w:cs="Arial"/>
          <w:sz w:val="24"/>
          <w:szCs w:val="20"/>
        </w:rPr>
        <w:t>X</w:t>
      </w:r>
      <w:r>
        <w:rPr>
          <w:rFonts w:ascii="Arial" w:eastAsia="Times New Roman" w:hAnsi="Arial" w:cs="Arial"/>
          <w:sz w:val="24"/>
          <w:szCs w:val="20"/>
        </w:rPr>
        <w:t xml:space="preserve"> uses both cannabis and alcohol to cope with social situations and that Mr </w:t>
      </w:r>
      <w:r w:rsidR="00FE33EB">
        <w:rPr>
          <w:rFonts w:ascii="Arial" w:eastAsia="Times New Roman" w:hAnsi="Arial" w:cs="Arial"/>
          <w:sz w:val="24"/>
          <w:szCs w:val="20"/>
        </w:rPr>
        <w:t xml:space="preserve">X </w:t>
      </w:r>
      <w:r>
        <w:rPr>
          <w:rFonts w:ascii="Arial" w:eastAsia="Times New Roman" w:hAnsi="Arial" w:cs="Arial"/>
          <w:sz w:val="24"/>
          <w:szCs w:val="20"/>
        </w:rPr>
        <w:t>’s GP is aware of his “daily use of cannabis and alcohol”</w:t>
      </w:r>
    </w:p>
    <w:p w14:paraId="40271C07" w14:textId="77777777" w:rsidR="004B6CC6" w:rsidRPr="004B6CC6" w:rsidRDefault="004B6CC6" w:rsidP="004B6CC6">
      <w:pPr>
        <w:spacing w:after="0" w:line="240" w:lineRule="auto"/>
        <w:ind w:left="720" w:right="555"/>
        <w:rPr>
          <w:rFonts w:ascii="Arial" w:eastAsia="Times New Roman" w:hAnsi="Arial" w:cs="Arial"/>
          <w:sz w:val="24"/>
          <w:szCs w:val="20"/>
        </w:rPr>
      </w:pPr>
    </w:p>
    <w:p w14:paraId="167C98D3" w14:textId="06C56D0F" w:rsidR="007C4883" w:rsidRDefault="004B6CC6" w:rsidP="005370D7">
      <w:pPr>
        <w:pStyle w:val="ListParagraph"/>
        <w:numPr>
          <w:ilvl w:val="0"/>
          <w:numId w:val="28"/>
        </w:numPr>
        <w:spacing w:after="0" w:line="240" w:lineRule="auto"/>
        <w:ind w:left="851" w:right="555" w:hanging="567"/>
        <w:rPr>
          <w:rFonts w:ascii="Arial" w:eastAsia="Times New Roman" w:hAnsi="Arial" w:cs="Arial"/>
          <w:sz w:val="24"/>
          <w:szCs w:val="20"/>
        </w:rPr>
      </w:pPr>
      <w:r>
        <w:rPr>
          <w:rFonts w:ascii="Arial" w:eastAsia="Times New Roman" w:hAnsi="Arial" w:cs="Arial"/>
          <w:sz w:val="24"/>
          <w:szCs w:val="20"/>
        </w:rPr>
        <w:t xml:space="preserve">The </w:t>
      </w:r>
      <w:r w:rsidR="00A61396">
        <w:rPr>
          <w:rFonts w:ascii="Arial" w:eastAsia="Times New Roman" w:hAnsi="Arial" w:cs="Arial"/>
          <w:sz w:val="24"/>
          <w:szCs w:val="20"/>
        </w:rPr>
        <w:t>(long</w:t>
      </w:r>
      <w:r>
        <w:rPr>
          <w:rFonts w:ascii="Arial" w:eastAsia="Times New Roman" w:hAnsi="Arial" w:cs="Arial"/>
          <w:sz w:val="24"/>
          <w:szCs w:val="20"/>
        </w:rPr>
        <w:t xml:space="preserve"> </w:t>
      </w:r>
      <w:r w:rsidR="00A61396">
        <w:rPr>
          <w:rFonts w:ascii="Arial" w:eastAsia="Times New Roman" w:hAnsi="Arial" w:cs="Arial"/>
          <w:sz w:val="24"/>
          <w:szCs w:val="20"/>
        </w:rPr>
        <w:t xml:space="preserve">term) daily </w:t>
      </w:r>
      <w:r>
        <w:rPr>
          <w:rFonts w:ascii="Arial" w:eastAsia="Times New Roman" w:hAnsi="Arial" w:cs="Arial"/>
          <w:sz w:val="24"/>
          <w:szCs w:val="20"/>
        </w:rPr>
        <w:t xml:space="preserve">use of psychoactive drugs such as prescribed tranquilisers, </w:t>
      </w:r>
      <w:r w:rsidR="00A61396">
        <w:rPr>
          <w:rFonts w:ascii="Arial" w:eastAsia="Times New Roman" w:hAnsi="Arial" w:cs="Arial"/>
          <w:sz w:val="24"/>
          <w:szCs w:val="20"/>
        </w:rPr>
        <w:t>alcohol, or cannabis can (just as with prescribed painkillers) lead to dependency.</w:t>
      </w:r>
    </w:p>
    <w:p w14:paraId="4C95E2A8" w14:textId="77777777" w:rsidR="00A61396" w:rsidRPr="00A61396" w:rsidRDefault="00A61396" w:rsidP="005370D7">
      <w:pPr>
        <w:pStyle w:val="ListParagraph"/>
        <w:ind w:left="851"/>
        <w:rPr>
          <w:rFonts w:ascii="Arial" w:eastAsia="Times New Roman" w:hAnsi="Arial" w:cs="Arial"/>
          <w:sz w:val="24"/>
          <w:szCs w:val="20"/>
        </w:rPr>
      </w:pPr>
    </w:p>
    <w:p w14:paraId="19E794C4" w14:textId="1DF08559" w:rsidR="00A12795" w:rsidRDefault="00A12795" w:rsidP="005370D7">
      <w:pPr>
        <w:pStyle w:val="ListParagraph"/>
        <w:numPr>
          <w:ilvl w:val="0"/>
          <w:numId w:val="28"/>
        </w:numPr>
        <w:spacing w:after="0" w:line="240" w:lineRule="auto"/>
        <w:ind w:left="851" w:right="555" w:hanging="567"/>
        <w:rPr>
          <w:rFonts w:ascii="Arial" w:eastAsia="Times New Roman" w:hAnsi="Arial" w:cs="Arial"/>
          <w:sz w:val="24"/>
          <w:szCs w:val="20"/>
        </w:rPr>
      </w:pPr>
      <w:r>
        <w:rPr>
          <w:rFonts w:ascii="Arial" w:eastAsia="Times New Roman" w:hAnsi="Arial" w:cs="Arial"/>
          <w:sz w:val="24"/>
          <w:szCs w:val="20"/>
        </w:rPr>
        <w:t>It</w:t>
      </w:r>
      <w:r w:rsidR="00A61396">
        <w:rPr>
          <w:rFonts w:ascii="Arial" w:eastAsia="Times New Roman" w:hAnsi="Arial" w:cs="Arial"/>
          <w:sz w:val="24"/>
          <w:szCs w:val="20"/>
        </w:rPr>
        <w:t xml:space="preserve"> is not the role of this Tribunal to make a medical diagnosis as to whether or not Mr </w:t>
      </w:r>
      <w:r w:rsidR="00394A17">
        <w:rPr>
          <w:rFonts w:ascii="Arial" w:eastAsia="Times New Roman" w:hAnsi="Arial" w:cs="Arial"/>
          <w:sz w:val="24"/>
          <w:szCs w:val="20"/>
        </w:rPr>
        <w:t>X</w:t>
      </w:r>
      <w:r w:rsidR="00A61396">
        <w:rPr>
          <w:rFonts w:ascii="Arial" w:eastAsia="Times New Roman" w:hAnsi="Arial" w:cs="Arial"/>
          <w:sz w:val="24"/>
          <w:szCs w:val="20"/>
        </w:rPr>
        <w:t xml:space="preserve"> has a  drug dependency </w:t>
      </w:r>
      <w:r w:rsidR="00C02391">
        <w:rPr>
          <w:rFonts w:ascii="Arial" w:eastAsia="Times New Roman" w:hAnsi="Arial" w:cs="Arial"/>
          <w:sz w:val="24"/>
          <w:szCs w:val="20"/>
        </w:rPr>
        <w:t>(</w:t>
      </w:r>
      <w:r w:rsidR="00A61396" w:rsidRPr="005C7B3C">
        <w:rPr>
          <w:rFonts w:ascii="Arial" w:eastAsia="Times New Roman" w:hAnsi="Arial" w:cs="Arial"/>
          <w:i/>
          <w:iCs/>
          <w:sz w:val="24"/>
          <w:szCs w:val="20"/>
        </w:rPr>
        <w:t>whether the drug in question is cannabis or</w:t>
      </w:r>
      <w:r w:rsidR="00A61396">
        <w:rPr>
          <w:rFonts w:ascii="Arial" w:eastAsia="Times New Roman" w:hAnsi="Arial" w:cs="Arial"/>
          <w:sz w:val="24"/>
          <w:szCs w:val="20"/>
        </w:rPr>
        <w:t xml:space="preserve"> </w:t>
      </w:r>
      <w:r w:rsidR="00A61396" w:rsidRPr="005C7B3C">
        <w:rPr>
          <w:rFonts w:ascii="Arial" w:eastAsia="Times New Roman" w:hAnsi="Arial" w:cs="Arial"/>
          <w:i/>
          <w:iCs/>
          <w:sz w:val="24"/>
          <w:szCs w:val="20"/>
        </w:rPr>
        <w:t>alcoho</w:t>
      </w:r>
      <w:r w:rsidR="00A61396">
        <w:rPr>
          <w:rFonts w:ascii="Arial" w:eastAsia="Times New Roman" w:hAnsi="Arial" w:cs="Arial"/>
          <w:sz w:val="24"/>
          <w:szCs w:val="20"/>
        </w:rPr>
        <w:t>l</w:t>
      </w:r>
      <w:r w:rsidR="005C7B3C">
        <w:rPr>
          <w:rFonts w:ascii="Arial" w:eastAsia="Times New Roman" w:hAnsi="Arial" w:cs="Arial"/>
          <w:sz w:val="24"/>
          <w:szCs w:val="20"/>
        </w:rPr>
        <w:t>)</w:t>
      </w:r>
      <w:r w:rsidR="00A61396">
        <w:rPr>
          <w:rFonts w:ascii="Arial" w:eastAsia="Times New Roman" w:hAnsi="Arial" w:cs="Arial"/>
          <w:sz w:val="24"/>
          <w:szCs w:val="20"/>
        </w:rPr>
        <w:t>,</w:t>
      </w:r>
      <w:r>
        <w:rPr>
          <w:rFonts w:ascii="Arial" w:eastAsia="Times New Roman" w:hAnsi="Arial" w:cs="Arial"/>
          <w:sz w:val="24"/>
          <w:szCs w:val="20"/>
        </w:rPr>
        <w:t xml:space="preserve"> but </w:t>
      </w:r>
      <w:r w:rsidR="00A61396">
        <w:rPr>
          <w:rFonts w:ascii="Arial" w:eastAsia="Times New Roman" w:hAnsi="Arial" w:cs="Arial"/>
          <w:sz w:val="24"/>
          <w:szCs w:val="20"/>
        </w:rPr>
        <w:t xml:space="preserve"> it is clear that </w:t>
      </w:r>
      <w:r w:rsidR="005C7B3C">
        <w:rPr>
          <w:rFonts w:ascii="Arial" w:eastAsia="Times New Roman" w:hAnsi="Arial" w:cs="Arial"/>
          <w:sz w:val="24"/>
          <w:szCs w:val="20"/>
        </w:rPr>
        <w:t xml:space="preserve">Mr </w:t>
      </w:r>
      <w:r w:rsidR="00394A17">
        <w:rPr>
          <w:rFonts w:ascii="Arial" w:eastAsia="Times New Roman" w:hAnsi="Arial" w:cs="Arial"/>
          <w:sz w:val="24"/>
          <w:szCs w:val="20"/>
        </w:rPr>
        <w:t>X</w:t>
      </w:r>
      <w:r w:rsidR="005C7B3C">
        <w:rPr>
          <w:rFonts w:ascii="Arial" w:eastAsia="Times New Roman" w:hAnsi="Arial" w:cs="Arial"/>
          <w:sz w:val="24"/>
          <w:szCs w:val="20"/>
        </w:rPr>
        <w:t xml:space="preserve">’s </w:t>
      </w:r>
      <w:r w:rsidR="00A61396">
        <w:rPr>
          <w:rFonts w:ascii="Arial" w:eastAsia="Times New Roman" w:hAnsi="Arial" w:cs="Arial"/>
          <w:sz w:val="24"/>
          <w:szCs w:val="20"/>
        </w:rPr>
        <w:t xml:space="preserve"> “ self-medication “  has caused him problems (Cf Ms </w:t>
      </w:r>
      <w:r w:rsidR="0076124A">
        <w:rPr>
          <w:rFonts w:ascii="Arial" w:eastAsia="Times New Roman" w:hAnsi="Arial" w:cs="Arial"/>
          <w:sz w:val="24"/>
          <w:szCs w:val="20"/>
        </w:rPr>
        <w:t xml:space="preserve">Y’s </w:t>
      </w:r>
      <w:r w:rsidR="00A61396">
        <w:rPr>
          <w:rFonts w:ascii="Arial" w:eastAsia="Times New Roman" w:hAnsi="Arial" w:cs="Arial"/>
          <w:sz w:val="24"/>
          <w:szCs w:val="20"/>
        </w:rPr>
        <w:t xml:space="preserve">reference to the concerns of Mr </w:t>
      </w:r>
      <w:r w:rsidR="00394A17">
        <w:rPr>
          <w:rFonts w:ascii="Arial" w:eastAsia="Times New Roman" w:hAnsi="Arial" w:cs="Arial"/>
          <w:sz w:val="24"/>
          <w:szCs w:val="20"/>
        </w:rPr>
        <w:t>X</w:t>
      </w:r>
      <w:r w:rsidR="00A61396">
        <w:rPr>
          <w:rFonts w:ascii="Arial" w:eastAsia="Times New Roman" w:hAnsi="Arial" w:cs="Arial"/>
          <w:sz w:val="24"/>
          <w:szCs w:val="20"/>
        </w:rPr>
        <w:t xml:space="preserve">’s GP and the fact that Mr </w:t>
      </w:r>
      <w:r w:rsidR="00394A17">
        <w:rPr>
          <w:rFonts w:ascii="Arial" w:eastAsia="Times New Roman" w:hAnsi="Arial" w:cs="Arial"/>
          <w:sz w:val="24"/>
          <w:szCs w:val="20"/>
        </w:rPr>
        <w:t>X</w:t>
      </w:r>
      <w:r w:rsidR="00A61396">
        <w:rPr>
          <w:rFonts w:ascii="Arial" w:eastAsia="Times New Roman" w:hAnsi="Arial" w:cs="Arial"/>
          <w:sz w:val="24"/>
          <w:szCs w:val="20"/>
        </w:rPr>
        <w:t xml:space="preserve"> has been refused entry onto public transport on account of his excess alcohol consumption</w:t>
      </w:r>
      <w:r w:rsidR="003C64E1">
        <w:rPr>
          <w:rFonts w:ascii="Arial" w:eastAsia="Times New Roman" w:hAnsi="Arial" w:cs="Arial"/>
          <w:sz w:val="24"/>
          <w:szCs w:val="20"/>
        </w:rPr>
        <w:t xml:space="preserve"> – </w:t>
      </w:r>
      <w:r w:rsidR="003C64E1" w:rsidRPr="003C64E1">
        <w:rPr>
          <w:rFonts w:ascii="Arial" w:eastAsia="Times New Roman" w:hAnsi="Arial" w:cs="Arial"/>
          <w:b/>
          <w:bCs/>
          <w:sz w:val="24"/>
          <w:szCs w:val="20"/>
        </w:rPr>
        <w:t>p76 of the bundle</w:t>
      </w:r>
      <w:r w:rsidR="003C64E1">
        <w:rPr>
          <w:rFonts w:ascii="Arial" w:eastAsia="Times New Roman" w:hAnsi="Arial" w:cs="Arial"/>
          <w:sz w:val="24"/>
          <w:szCs w:val="20"/>
        </w:rPr>
        <w:t xml:space="preserve"> </w:t>
      </w:r>
      <w:r w:rsidR="00A61396">
        <w:rPr>
          <w:rFonts w:ascii="Arial" w:eastAsia="Times New Roman" w:hAnsi="Arial" w:cs="Arial"/>
          <w:sz w:val="24"/>
          <w:szCs w:val="20"/>
        </w:rPr>
        <w:t>)</w:t>
      </w:r>
      <w:r>
        <w:rPr>
          <w:rFonts w:ascii="Arial" w:eastAsia="Times New Roman" w:hAnsi="Arial" w:cs="Arial"/>
          <w:sz w:val="24"/>
          <w:szCs w:val="20"/>
        </w:rPr>
        <w:t xml:space="preserve">. </w:t>
      </w:r>
    </w:p>
    <w:p w14:paraId="6442E3F0" w14:textId="77777777" w:rsidR="00A12795" w:rsidRPr="00A12795" w:rsidRDefault="00A12795" w:rsidP="00A12795">
      <w:pPr>
        <w:pStyle w:val="ListParagraph"/>
        <w:rPr>
          <w:rFonts w:ascii="Arial" w:eastAsia="Times New Roman" w:hAnsi="Arial" w:cs="Arial"/>
          <w:sz w:val="24"/>
          <w:szCs w:val="20"/>
        </w:rPr>
      </w:pPr>
    </w:p>
    <w:p w14:paraId="4957E917" w14:textId="70DCBE7C" w:rsidR="00A61396" w:rsidRDefault="00A61396" w:rsidP="00A12795">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 xml:space="preserve"> I </w:t>
      </w:r>
      <w:r w:rsidR="00A12795">
        <w:rPr>
          <w:rFonts w:ascii="Arial" w:eastAsia="Times New Roman" w:hAnsi="Arial" w:cs="Arial"/>
          <w:sz w:val="24"/>
          <w:szCs w:val="20"/>
        </w:rPr>
        <w:t xml:space="preserve">am also </w:t>
      </w:r>
      <w:r>
        <w:rPr>
          <w:rFonts w:ascii="Arial" w:eastAsia="Times New Roman" w:hAnsi="Arial" w:cs="Arial"/>
          <w:sz w:val="24"/>
          <w:szCs w:val="20"/>
        </w:rPr>
        <w:t xml:space="preserve">nevertheless reminded </w:t>
      </w:r>
      <w:r w:rsidR="005370D7">
        <w:rPr>
          <w:rFonts w:ascii="Arial" w:eastAsia="Times New Roman" w:hAnsi="Arial" w:cs="Arial"/>
          <w:sz w:val="24"/>
          <w:szCs w:val="20"/>
        </w:rPr>
        <w:t>of what the</w:t>
      </w:r>
      <w:r>
        <w:rPr>
          <w:rFonts w:ascii="Arial" w:eastAsia="Times New Roman" w:hAnsi="Arial" w:cs="Arial"/>
          <w:sz w:val="24"/>
          <w:szCs w:val="20"/>
        </w:rPr>
        <w:t xml:space="preserve"> Tribunal of </w:t>
      </w:r>
      <w:r w:rsidR="005C7B3C">
        <w:rPr>
          <w:rFonts w:ascii="Arial" w:eastAsia="Times New Roman" w:hAnsi="Arial" w:cs="Arial"/>
          <w:sz w:val="24"/>
          <w:szCs w:val="20"/>
        </w:rPr>
        <w:t>Commissioners held</w:t>
      </w:r>
      <w:r w:rsidR="00750907">
        <w:rPr>
          <w:rFonts w:ascii="Arial" w:eastAsia="Times New Roman" w:hAnsi="Arial" w:cs="Arial"/>
          <w:sz w:val="24"/>
          <w:szCs w:val="20"/>
        </w:rPr>
        <w:t xml:space="preserve"> i</w:t>
      </w:r>
      <w:r>
        <w:rPr>
          <w:rFonts w:ascii="Arial" w:eastAsia="Times New Roman" w:hAnsi="Arial" w:cs="Arial"/>
          <w:sz w:val="24"/>
          <w:szCs w:val="20"/>
        </w:rPr>
        <w:t xml:space="preserve">n </w:t>
      </w:r>
      <w:r w:rsidR="005C7B3C">
        <w:rPr>
          <w:rFonts w:ascii="Arial" w:eastAsia="Times New Roman" w:hAnsi="Arial" w:cs="Arial"/>
          <w:sz w:val="24"/>
          <w:szCs w:val="20"/>
        </w:rPr>
        <w:t>R (</w:t>
      </w:r>
      <w:r>
        <w:rPr>
          <w:rFonts w:ascii="Arial" w:eastAsia="Times New Roman" w:hAnsi="Arial" w:cs="Arial"/>
          <w:sz w:val="24"/>
          <w:szCs w:val="20"/>
        </w:rPr>
        <w:t>DLA</w:t>
      </w:r>
      <w:r w:rsidR="005370D7">
        <w:rPr>
          <w:rFonts w:ascii="Arial" w:eastAsia="Times New Roman" w:hAnsi="Arial" w:cs="Arial"/>
          <w:sz w:val="24"/>
          <w:szCs w:val="20"/>
        </w:rPr>
        <w:t xml:space="preserve"> </w:t>
      </w:r>
      <w:r>
        <w:rPr>
          <w:rFonts w:ascii="Arial" w:eastAsia="Times New Roman" w:hAnsi="Arial" w:cs="Arial"/>
          <w:sz w:val="24"/>
          <w:szCs w:val="20"/>
        </w:rPr>
        <w:t xml:space="preserve">)6/06.  The </w:t>
      </w:r>
      <w:r w:rsidR="003C1C71">
        <w:rPr>
          <w:rFonts w:ascii="Arial" w:eastAsia="Times New Roman" w:hAnsi="Arial" w:cs="Arial"/>
          <w:sz w:val="24"/>
          <w:szCs w:val="20"/>
        </w:rPr>
        <w:t>Commissioners held (allowing the appeal) that</w:t>
      </w:r>
      <w:r w:rsidR="005C7B3C">
        <w:rPr>
          <w:rFonts w:ascii="Arial" w:eastAsia="Times New Roman" w:hAnsi="Arial" w:cs="Arial"/>
          <w:sz w:val="24"/>
          <w:szCs w:val="20"/>
        </w:rPr>
        <w:t>:</w:t>
      </w:r>
      <w:r w:rsidR="003C1C71">
        <w:rPr>
          <w:rFonts w:ascii="Arial" w:eastAsia="Times New Roman" w:hAnsi="Arial" w:cs="Arial"/>
          <w:sz w:val="24"/>
          <w:szCs w:val="20"/>
        </w:rPr>
        <w:t xml:space="preserve"> </w:t>
      </w:r>
      <w:r w:rsidR="005C7B3C" w:rsidRPr="005C7B3C">
        <w:rPr>
          <w:rFonts w:ascii="Arial" w:eastAsia="Times New Roman" w:hAnsi="Arial" w:cs="Arial"/>
          <w:i/>
          <w:iCs/>
          <w:sz w:val="24"/>
          <w:szCs w:val="20"/>
        </w:rPr>
        <w:t xml:space="preserve">(any </w:t>
      </w:r>
      <w:r w:rsidR="003C1C71" w:rsidRPr="005C7B3C">
        <w:rPr>
          <w:rFonts w:ascii="Arial" w:eastAsia="Times New Roman" w:hAnsi="Arial" w:cs="Arial"/>
          <w:i/>
          <w:iCs/>
          <w:sz w:val="24"/>
          <w:szCs w:val="20"/>
        </w:rPr>
        <w:t>emphasis is mine</w:t>
      </w:r>
      <w:r w:rsidR="003C1C71">
        <w:rPr>
          <w:rFonts w:ascii="Arial" w:eastAsia="Times New Roman" w:hAnsi="Arial" w:cs="Arial"/>
          <w:sz w:val="24"/>
          <w:szCs w:val="20"/>
        </w:rPr>
        <w:t>)</w:t>
      </w:r>
    </w:p>
    <w:p w14:paraId="2B570129" w14:textId="77777777" w:rsidR="003C1C71" w:rsidRPr="003C1C71" w:rsidRDefault="003C1C71" w:rsidP="003C1C71">
      <w:pPr>
        <w:pStyle w:val="ListParagraph"/>
        <w:rPr>
          <w:rFonts w:ascii="Arial" w:eastAsia="Times New Roman" w:hAnsi="Arial" w:cs="Arial"/>
          <w:sz w:val="24"/>
          <w:szCs w:val="20"/>
        </w:rPr>
      </w:pPr>
    </w:p>
    <w:p w14:paraId="5A35BBA8" w14:textId="3B0D99B4"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lastRenderedPageBreak/>
        <w:t>1.</w:t>
      </w:r>
      <w:r w:rsidRPr="003C1C71">
        <w:rPr>
          <w:rFonts w:ascii="Arial" w:eastAsia="Times New Roman" w:hAnsi="Arial" w:cs="Arial"/>
          <w:sz w:val="24"/>
          <w:szCs w:val="20"/>
        </w:rPr>
        <w:tab/>
        <w:t>physical symptoms or manifestations flowing from alcohol dependence alone do not result from an identifiable physical cause and in the light of Harrison and CDLA/2879/2004 (now reported as R(DLA) 4/06), it followed that a claimant is not entitled to higher rate mobility component if the only disability on which his claim is based flows from only such a cause (paragraph 19);</w:t>
      </w:r>
    </w:p>
    <w:p w14:paraId="13CE5F04"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5A6D0501" w14:textId="15C42EFC"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2.</w:t>
      </w:r>
      <w:r w:rsidRPr="003C1C71">
        <w:rPr>
          <w:rFonts w:ascii="Arial" w:eastAsia="Times New Roman" w:hAnsi="Arial" w:cs="Arial"/>
          <w:sz w:val="24"/>
          <w:szCs w:val="20"/>
        </w:rPr>
        <w:tab/>
        <w:t>if a separate medical condition arises from the excessive consumption of alcohol, then any disabling manifestations of such a condition can be taken into account in assessing entitlement to the care component and the lower rate of the mobility component of DLA, whether or not the ingestion is related to alcohol dependence (paragraphs 21 to 22);</w:t>
      </w:r>
    </w:p>
    <w:p w14:paraId="224B3A70"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2365E390" w14:textId="67551305"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3.</w:t>
      </w:r>
      <w:r w:rsidRPr="003C1C71">
        <w:rPr>
          <w:rFonts w:ascii="Arial" w:eastAsia="Times New Roman" w:hAnsi="Arial" w:cs="Arial"/>
          <w:sz w:val="24"/>
          <w:szCs w:val="20"/>
        </w:rPr>
        <w:tab/>
        <w:t>the transient and immediate effects consequent upon a person choosing to consume too much alcohol are not to be taken into account in determining entitlement to DLA because a claimant does not require the help contemplated by the legislation if he or she can reasonably be expected to avoid the need for attention or supervision by controlling the consumption of alcohol (paragraphs 23 to 25);</w:t>
      </w:r>
    </w:p>
    <w:p w14:paraId="45C79C4E"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16D7C9E1" w14:textId="6F1FE103"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4.</w:t>
      </w:r>
      <w:r w:rsidRPr="003C1C71">
        <w:rPr>
          <w:rFonts w:ascii="Arial" w:eastAsia="Times New Roman" w:hAnsi="Arial" w:cs="Arial"/>
          <w:sz w:val="24"/>
          <w:szCs w:val="20"/>
        </w:rPr>
        <w:tab/>
        <w:t>alcohol dependency is a medical condition, not a disability, but there is a direct causal link between dependence on alcohol and intoxication (paragraphs 28 to 30);</w:t>
      </w:r>
    </w:p>
    <w:p w14:paraId="350811A6"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6F6889E9" w14:textId="5DF2736A"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5.</w:t>
      </w:r>
      <w:r w:rsidRPr="003C1C71">
        <w:rPr>
          <w:rFonts w:ascii="Arial" w:eastAsia="Times New Roman" w:hAnsi="Arial" w:cs="Arial"/>
          <w:sz w:val="24"/>
          <w:szCs w:val="20"/>
        </w:rPr>
        <w:tab/>
      </w:r>
      <w:r w:rsidRPr="003C1C71">
        <w:rPr>
          <w:rFonts w:ascii="Arial" w:eastAsia="Times New Roman" w:hAnsi="Arial" w:cs="Arial"/>
          <w:b/>
          <w:bCs/>
          <w:sz w:val="24"/>
          <w:szCs w:val="20"/>
        </w:rPr>
        <w:t>the diagnostic criteria for dependence show that it is inappropriate to think in absolute terms of choice or uncontrollable addiction; it is more helpful to think in terms of the degree of self-control that is realistically attainable in the light of all of the circumstances, including the claimant’s history and steps that are available to him to address his dependence (paragraphs 32 and 33);</w:t>
      </w:r>
    </w:p>
    <w:p w14:paraId="39428871"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187FB34C" w14:textId="54D38E73"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6.</w:t>
      </w:r>
      <w:r w:rsidRPr="003C1C71">
        <w:rPr>
          <w:rFonts w:ascii="Arial" w:eastAsia="Times New Roman" w:hAnsi="Arial" w:cs="Arial"/>
          <w:sz w:val="24"/>
          <w:szCs w:val="20"/>
        </w:rPr>
        <w:tab/>
        <w:t>a person who cannot realistically stop drinking to excess because of a medical condition and cannot function properly as a result can reasonably be said both to be suffering from disablement and to require any attention, supervision or other help contemplated by the legislation that is necessary as a consequence of his drinking and so there is no reason why the effects of being intoxicated should not be taken into account in determining his entitlement to the care component of DLA (paragraph 33);</w:t>
      </w:r>
    </w:p>
    <w:p w14:paraId="530CB009"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760E23A0" w14:textId="208A9F8A"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7.</w:t>
      </w:r>
      <w:r w:rsidRPr="003C1C71">
        <w:rPr>
          <w:rFonts w:ascii="Arial" w:eastAsia="Times New Roman" w:hAnsi="Arial" w:cs="Arial"/>
          <w:sz w:val="24"/>
          <w:szCs w:val="20"/>
        </w:rPr>
        <w:tab/>
        <w:t>there is also no reason why the possibility of the claimant’s taking advantage of professional assistance to control his alcohol consumption should not be taken into account (paragraph 36);</w:t>
      </w:r>
    </w:p>
    <w:p w14:paraId="011729B5" w14:textId="77777777" w:rsidR="003C1C71" w:rsidRPr="003C1C71" w:rsidRDefault="003C1C71" w:rsidP="005C7B3C">
      <w:pPr>
        <w:pStyle w:val="ListParagraph"/>
        <w:spacing w:after="0" w:line="240" w:lineRule="auto"/>
        <w:ind w:left="2410" w:right="838"/>
        <w:rPr>
          <w:rFonts w:ascii="Arial" w:eastAsia="Times New Roman" w:hAnsi="Arial" w:cs="Arial"/>
          <w:sz w:val="24"/>
          <w:szCs w:val="20"/>
        </w:rPr>
      </w:pPr>
    </w:p>
    <w:p w14:paraId="167BFCAF" w14:textId="77777777"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8.</w:t>
      </w:r>
      <w:r w:rsidRPr="003C1C71">
        <w:rPr>
          <w:rFonts w:ascii="Arial" w:eastAsia="Times New Roman" w:hAnsi="Arial" w:cs="Arial"/>
          <w:sz w:val="24"/>
          <w:szCs w:val="20"/>
        </w:rPr>
        <w:tab/>
        <w:t xml:space="preserve">the tribunal in this case was wrong simply to exclude from all consideration the effects of the claimant being drunk (paragraph 43). </w:t>
      </w:r>
    </w:p>
    <w:p w14:paraId="104111DD" w14:textId="625CD402" w:rsidR="003C1C71" w:rsidRDefault="003C1C71" w:rsidP="005C7B3C">
      <w:pPr>
        <w:pStyle w:val="ListParagraph"/>
        <w:spacing w:after="0" w:line="240" w:lineRule="auto"/>
        <w:ind w:left="2410" w:right="838"/>
        <w:rPr>
          <w:rFonts w:ascii="Arial" w:eastAsia="Times New Roman" w:hAnsi="Arial" w:cs="Arial"/>
          <w:sz w:val="24"/>
          <w:szCs w:val="20"/>
        </w:rPr>
      </w:pPr>
      <w:r w:rsidRPr="003C1C71">
        <w:rPr>
          <w:rFonts w:ascii="Arial" w:eastAsia="Times New Roman" w:hAnsi="Arial" w:cs="Arial"/>
          <w:sz w:val="24"/>
          <w:szCs w:val="20"/>
        </w:rPr>
        <w:t xml:space="preserve"> </w:t>
      </w:r>
    </w:p>
    <w:p w14:paraId="6CD54C5A" w14:textId="7C5C732A" w:rsidR="003C1C71" w:rsidRDefault="003C1C71" w:rsidP="00535636">
      <w:pPr>
        <w:pStyle w:val="ListParagraph"/>
        <w:numPr>
          <w:ilvl w:val="1"/>
          <w:numId w:val="28"/>
        </w:numPr>
        <w:ind w:right="413"/>
        <w:rPr>
          <w:rFonts w:ascii="Arial" w:eastAsia="Times New Roman" w:hAnsi="Arial" w:cs="Arial"/>
          <w:sz w:val="24"/>
          <w:szCs w:val="20"/>
        </w:rPr>
      </w:pPr>
      <w:r>
        <w:rPr>
          <w:rFonts w:ascii="Arial" w:eastAsia="Times New Roman" w:hAnsi="Arial" w:cs="Arial"/>
          <w:sz w:val="24"/>
          <w:szCs w:val="20"/>
        </w:rPr>
        <w:lastRenderedPageBreak/>
        <w:t>There can be no doubt following the decision of Judge Hemmingway</w:t>
      </w:r>
      <w:r w:rsidR="00486354">
        <w:rPr>
          <w:rFonts w:ascii="Arial" w:eastAsia="Times New Roman" w:hAnsi="Arial" w:cs="Arial"/>
          <w:sz w:val="24"/>
          <w:szCs w:val="20"/>
        </w:rPr>
        <w:t xml:space="preserve"> in </w:t>
      </w:r>
      <w:r w:rsidR="00486354" w:rsidRPr="00486354">
        <w:rPr>
          <w:rFonts w:ascii="Arial" w:eastAsia="Times New Roman" w:hAnsi="Arial" w:cs="Arial"/>
          <w:sz w:val="24"/>
          <w:szCs w:val="20"/>
        </w:rPr>
        <w:t>SD v SSWP (PIP) [2017] UKUT 310 (AAC)</w:t>
      </w:r>
      <w:r w:rsidR="00486354">
        <w:rPr>
          <w:rFonts w:ascii="Arial" w:eastAsia="Times New Roman" w:hAnsi="Arial" w:cs="Arial"/>
          <w:sz w:val="24"/>
          <w:szCs w:val="20"/>
        </w:rPr>
        <w:t xml:space="preserve"> that the principles outlined by the Tribunal of Commissioners in R(DLA)6/06 apply equally in the ESA and PIP context and apply whether the dependency is on alcohol, street drugs or prescription drugs</w:t>
      </w:r>
      <w:r w:rsidR="00541F36">
        <w:rPr>
          <w:rFonts w:ascii="Arial" w:eastAsia="Times New Roman" w:hAnsi="Arial" w:cs="Arial"/>
          <w:sz w:val="24"/>
          <w:szCs w:val="20"/>
        </w:rPr>
        <w:t>.</w:t>
      </w:r>
    </w:p>
    <w:p w14:paraId="01BB1815" w14:textId="77777777" w:rsidR="00541F36" w:rsidRDefault="00541F36" w:rsidP="00541F36">
      <w:pPr>
        <w:pStyle w:val="ListParagraph"/>
        <w:ind w:left="1676" w:right="413"/>
        <w:rPr>
          <w:rFonts w:ascii="Arial" w:eastAsia="Times New Roman" w:hAnsi="Arial" w:cs="Arial"/>
          <w:sz w:val="24"/>
          <w:szCs w:val="20"/>
        </w:rPr>
      </w:pPr>
    </w:p>
    <w:p w14:paraId="1B73BEE7" w14:textId="38AC4BFA" w:rsidR="00541F36" w:rsidRDefault="00541F36" w:rsidP="00535636">
      <w:pPr>
        <w:pStyle w:val="ListParagraph"/>
        <w:numPr>
          <w:ilvl w:val="1"/>
          <w:numId w:val="28"/>
        </w:numPr>
        <w:ind w:right="413"/>
        <w:rPr>
          <w:rFonts w:ascii="Arial" w:eastAsia="Times New Roman" w:hAnsi="Arial" w:cs="Arial"/>
          <w:sz w:val="24"/>
          <w:szCs w:val="20"/>
          <w:u w:val="single"/>
        </w:rPr>
      </w:pPr>
      <w:r w:rsidRPr="00541F36">
        <w:rPr>
          <w:rFonts w:ascii="Arial" w:eastAsia="Times New Roman" w:hAnsi="Arial" w:cs="Arial"/>
          <w:sz w:val="24"/>
          <w:szCs w:val="20"/>
          <w:u w:val="single"/>
        </w:rPr>
        <w:t xml:space="preserve">The Tribunal </w:t>
      </w:r>
      <w:r w:rsidR="00535636" w:rsidRPr="00541F36">
        <w:rPr>
          <w:rFonts w:ascii="Arial" w:eastAsia="Times New Roman" w:hAnsi="Arial" w:cs="Arial"/>
          <w:sz w:val="24"/>
          <w:szCs w:val="20"/>
          <w:u w:val="single"/>
        </w:rPr>
        <w:t>will</w:t>
      </w:r>
      <w:r w:rsidR="00535636">
        <w:rPr>
          <w:rFonts w:ascii="Arial" w:eastAsia="Times New Roman" w:hAnsi="Arial" w:cs="Arial"/>
          <w:sz w:val="24"/>
          <w:szCs w:val="20"/>
          <w:u w:val="single"/>
        </w:rPr>
        <w:t>,</w:t>
      </w:r>
      <w:r w:rsidR="00535636" w:rsidRPr="00541F36">
        <w:rPr>
          <w:rFonts w:ascii="Arial" w:eastAsia="Times New Roman" w:hAnsi="Arial" w:cs="Arial"/>
          <w:sz w:val="24"/>
          <w:szCs w:val="20"/>
          <w:u w:val="single"/>
        </w:rPr>
        <w:t xml:space="preserve"> </w:t>
      </w:r>
      <w:r w:rsidR="00535636">
        <w:rPr>
          <w:rFonts w:ascii="Arial" w:eastAsia="Times New Roman" w:hAnsi="Arial" w:cs="Arial"/>
          <w:sz w:val="24"/>
          <w:szCs w:val="20"/>
          <w:u w:val="single"/>
        </w:rPr>
        <w:t>in</w:t>
      </w:r>
      <w:r>
        <w:rPr>
          <w:rFonts w:ascii="Arial" w:eastAsia="Times New Roman" w:hAnsi="Arial" w:cs="Arial"/>
          <w:sz w:val="24"/>
          <w:szCs w:val="20"/>
          <w:u w:val="single"/>
        </w:rPr>
        <w:t xml:space="preserve"> the light of the above, </w:t>
      </w:r>
      <w:r w:rsidRPr="00541F36">
        <w:rPr>
          <w:rFonts w:ascii="Arial" w:eastAsia="Times New Roman" w:hAnsi="Arial" w:cs="Arial"/>
          <w:sz w:val="24"/>
          <w:szCs w:val="20"/>
          <w:u w:val="single"/>
        </w:rPr>
        <w:t xml:space="preserve">need to consider whether or not Mr </w:t>
      </w:r>
      <w:r w:rsidR="00394A17">
        <w:rPr>
          <w:rFonts w:ascii="Arial" w:eastAsia="Times New Roman" w:hAnsi="Arial" w:cs="Arial"/>
          <w:sz w:val="24"/>
          <w:szCs w:val="20"/>
          <w:u w:val="single"/>
        </w:rPr>
        <w:t>X</w:t>
      </w:r>
      <w:r w:rsidRPr="00541F36">
        <w:rPr>
          <w:rFonts w:ascii="Arial" w:eastAsia="Times New Roman" w:hAnsi="Arial" w:cs="Arial"/>
          <w:sz w:val="24"/>
          <w:szCs w:val="20"/>
          <w:u w:val="single"/>
        </w:rPr>
        <w:t xml:space="preserve"> may be dependant on cannabis and/or alcohol and </w:t>
      </w:r>
      <w:r w:rsidR="00750907">
        <w:rPr>
          <w:rFonts w:ascii="Arial" w:eastAsia="Times New Roman" w:hAnsi="Arial" w:cs="Arial"/>
          <w:sz w:val="24"/>
          <w:szCs w:val="20"/>
          <w:u w:val="single"/>
        </w:rPr>
        <w:t>whether this</w:t>
      </w:r>
      <w:r w:rsidRPr="00541F36">
        <w:rPr>
          <w:rFonts w:ascii="Arial" w:eastAsia="Times New Roman" w:hAnsi="Arial" w:cs="Arial"/>
          <w:sz w:val="24"/>
          <w:szCs w:val="20"/>
          <w:u w:val="single"/>
        </w:rPr>
        <w:t xml:space="preserve"> </w:t>
      </w:r>
      <w:r>
        <w:rPr>
          <w:rFonts w:ascii="Arial" w:eastAsia="Times New Roman" w:hAnsi="Arial" w:cs="Arial"/>
          <w:sz w:val="24"/>
          <w:szCs w:val="20"/>
          <w:u w:val="single"/>
        </w:rPr>
        <w:t xml:space="preserve">may </w:t>
      </w:r>
      <w:r w:rsidRPr="00541F36">
        <w:rPr>
          <w:rFonts w:ascii="Arial" w:eastAsia="Times New Roman" w:hAnsi="Arial" w:cs="Arial"/>
          <w:sz w:val="24"/>
          <w:szCs w:val="20"/>
          <w:u w:val="single"/>
        </w:rPr>
        <w:t xml:space="preserve">exacerbate his existing </w:t>
      </w:r>
      <w:r w:rsidR="00750907">
        <w:rPr>
          <w:rFonts w:ascii="Arial" w:eastAsia="Times New Roman" w:hAnsi="Arial" w:cs="Arial"/>
          <w:sz w:val="24"/>
          <w:szCs w:val="20"/>
          <w:u w:val="single"/>
        </w:rPr>
        <w:t>mental health condtions</w:t>
      </w:r>
      <w:r w:rsidR="00C824FC" w:rsidRPr="00541F36">
        <w:rPr>
          <w:rFonts w:ascii="Arial" w:eastAsia="Times New Roman" w:hAnsi="Arial" w:cs="Arial"/>
          <w:sz w:val="24"/>
          <w:szCs w:val="20"/>
          <w:u w:val="single"/>
        </w:rPr>
        <w:t xml:space="preserve"> to</w:t>
      </w:r>
      <w:r w:rsidRPr="00541F36">
        <w:rPr>
          <w:rFonts w:ascii="Arial" w:eastAsia="Times New Roman" w:hAnsi="Arial" w:cs="Arial"/>
          <w:sz w:val="24"/>
          <w:szCs w:val="20"/>
          <w:u w:val="single"/>
        </w:rPr>
        <w:t xml:space="preserve"> the extent that the relevant Descriptors are met.</w:t>
      </w:r>
    </w:p>
    <w:p w14:paraId="180571D5" w14:textId="77777777" w:rsidR="005426E9" w:rsidRPr="005426E9" w:rsidRDefault="005426E9" w:rsidP="005426E9">
      <w:pPr>
        <w:pStyle w:val="ListParagraph"/>
        <w:rPr>
          <w:rFonts w:ascii="Arial" w:eastAsia="Times New Roman" w:hAnsi="Arial" w:cs="Arial"/>
          <w:sz w:val="24"/>
          <w:szCs w:val="20"/>
          <w:u w:val="single"/>
        </w:rPr>
      </w:pPr>
    </w:p>
    <w:p w14:paraId="03F86F5F" w14:textId="48AF2E5B" w:rsidR="003C1C71" w:rsidRDefault="005426E9" w:rsidP="00A70643">
      <w:pPr>
        <w:pStyle w:val="ListParagraph"/>
        <w:numPr>
          <w:ilvl w:val="0"/>
          <w:numId w:val="28"/>
        </w:numPr>
        <w:spacing w:after="0" w:line="240" w:lineRule="auto"/>
        <w:ind w:left="851" w:right="555"/>
        <w:rPr>
          <w:rFonts w:ascii="Arial" w:eastAsia="Times New Roman" w:hAnsi="Arial" w:cs="Arial"/>
          <w:sz w:val="24"/>
          <w:szCs w:val="20"/>
        </w:rPr>
      </w:pPr>
      <w:r>
        <w:rPr>
          <w:rFonts w:ascii="Arial" w:eastAsia="Times New Roman" w:hAnsi="Arial" w:cs="Arial"/>
          <w:sz w:val="24"/>
          <w:szCs w:val="20"/>
        </w:rPr>
        <w:t xml:space="preserve"> The Respondent </w:t>
      </w:r>
      <w:r w:rsidRPr="00750907">
        <w:rPr>
          <w:rFonts w:ascii="Arial" w:eastAsia="Times New Roman" w:hAnsi="Arial" w:cs="Arial"/>
          <w:b/>
          <w:bCs/>
          <w:sz w:val="24"/>
          <w:szCs w:val="20"/>
        </w:rPr>
        <w:t>(</w:t>
      </w:r>
      <w:r w:rsidR="00E466D8" w:rsidRPr="00750907">
        <w:rPr>
          <w:rFonts w:ascii="Arial" w:eastAsia="Times New Roman" w:hAnsi="Arial" w:cs="Arial"/>
          <w:b/>
          <w:bCs/>
          <w:sz w:val="24"/>
          <w:szCs w:val="20"/>
        </w:rPr>
        <w:t>S4(5) page E of the Response</w:t>
      </w:r>
      <w:r w:rsidR="00C824FC">
        <w:rPr>
          <w:rFonts w:ascii="Arial" w:eastAsia="Times New Roman" w:hAnsi="Arial" w:cs="Arial"/>
          <w:sz w:val="24"/>
          <w:szCs w:val="20"/>
        </w:rPr>
        <w:t>)</w:t>
      </w:r>
      <w:r w:rsidR="00E466D8">
        <w:rPr>
          <w:rFonts w:ascii="Arial" w:eastAsia="Times New Roman" w:hAnsi="Arial" w:cs="Arial"/>
          <w:sz w:val="24"/>
          <w:szCs w:val="20"/>
        </w:rPr>
        <w:t xml:space="preserve"> states:</w:t>
      </w:r>
    </w:p>
    <w:p w14:paraId="5EE85E1C" w14:textId="62514068" w:rsidR="00E466D8" w:rsidRDefault="00E466D8" w:rsidP="00E466D8">
      <w:pPr>
        <w:pStyle w:val="ListParagraph"/>
        <w:spacing w:after="0" w:line="240" w:lineRule="auto"/>
        <w:ind w:left="465" w:right="555"/>
        <w:rPr>
          <w:rFonts w:ascii="Arial" w:eastAsia="Times New Roman" w:hAnsi="Arial" w:cs="Arial"/>
          <w:sz w:val="24"/>
          <w:szCs w:val="20"/>
        </w:rPr>
      </w:pPr>
    </w:p>
    <w:p w14:paraId="2E0935CE" w14:textId="0DEEEBF3" w:rsidR="00E466D8" w:rsidRDefault="00E466D8" w:rsidP="00E466D8">
      <w:pPr>
        <w:pStyle w:val="ListParagraph"/>
        <w:spacing w:after="0" w:line="240" w:lineRule="auto"/>
        <w:ind w:left="465" w:right="555"/>
        <w:rPr>
          <w:rFonts w:ascii="Arial" w:eastAsia="Times New Roman" w:hAnsi="Arial" w:cs="Arial"/>
          <w:sz w:val="24"/>
          <w:szCs w:val="20"/>
        </w:rPr>
      </w:pPr>
    </w:p>
    <w:p w14:paraId="6F6D04CA" w14:textId="1F19F6A4" w:rsidR="00E466D8" w:rsidRDefault="00E466D8" w:rsidP="00E466D8">
      <w:pPr>
        <w:pStyle w:val="ListParagraph"/>
        <w:spacing w:after="0" w:line="240" w:lineRule="auto"/>
        <w:ind w:left="2694" w:right="555"/>
        <w:rPr>
          <w:rFonts w:ascii="Arial" w:eastAsia="Times New Roman" w:hAnsi="Arial" w:cs="Arial"/>
          <w:sz w:val="24"/>
          <w:szCs w:val="20"/>
        </w:rPr>
      </w:pPr>
    </w:p>
    <w:p w14:paraId="7D7EBF9C" w14:textId="77777777" w:rsidR="003C1C71" w:rsidRPr="003C1C71" w:rsidRDefault="003C1C71" w:rsidP="003C1C71">
      <w:pPr>
        <w:pStyle w:val="ListParagraph"/>
        <w:rPr>
          <w:rFonts w:ascii="Arial" w:eastAsia="Times New Roman" w:hAnsi="Arial" w:cs="Arial"/>
          <w:sz w:val="24"/>
          <w:szCs w:val="20"/>
        </w:rPr>
      </w:pPr>
    </w:p>
    <w:p w14:paraId="64CF3DB2" w14:textId="77777777" w:rsidR="003C1C71" w:rsidRPr="00A70643" w:rsidRDefault="003C1C71" w:rsidP="00A70643">
      <w:pPr>
        <w:spacing w:after="0" w:line="240" w:lineRule="auto"/>
        <w:ind w:right="555"/>
        <w:rPr>
          <w:rFonts w:ascii="Arial" w:eastAsia="Times New Roman" w:hAnsi="Arial" w:cs="Arial"/>
          <w:sz w:val="24"/>
          <w:szCs w:val="20"/>
        </w:rPr>
      </w:pPr>
    </w:p>
    <w:p w14:paraId="04A4DD05" w14:textId="75E10A76" w:rsidR="007C4883" w:rsidRDefault="007C4883" w:rsidP="007C4883">
      <w:pPr>
        <w:pStyle w:val="ListParagraph"/>
        <w:spacing w:after="0" w:line="240" w:lineRule="auto"/>
        <w:ind w:left="1676" w:right="555"/>
        <w:rPr>
          <w:rFonts w:ascii="Arial" w:eastAsia="Times New Roman" w:hAnsi="Arial" w:cs="Arial"/>
          <w:sz w:val="24"/>
          <w:szCs w:val="20"/>
        </w:rPr>
      </w:pPr>
    </w:p>
    <w:p w14:paraId="649F9A60" w14:textId="77777777" w:rsidR="00A70643" w:rsidRPr="007C4883" w:rsidRDefault="00A70643" w:rsidP="007C4883">
      <w:pPr>
        <w:pStyle w:val="ListParagraph"/>
        <w:spacing w:after="0" w:line="240" w:lineRule="auto"/>
        <w:ind w:left="1676" w:right="555"/>
        <w:rPr>
          <w:rFonts w:ascii="Arial" w:eastAsia="Times New Roman" w:hAnsi="Arial" w:cs="Arial"/>
          <w:sz w:val="24"/>
          <w:szCs w:val="20"/>
        </w:rPr>
      </w:pPr>
    </w:p>
    <w:p w14:paraId="04E41FDF" w14:textId="032CF46C" w:rsidR="00BD0F94" w:rsidRDefault="00A70643" w:rsidP="00A70643">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The 3JP’s decision in MH was issued (as conceded by the Respondent) on 28 November 2016.  MH therefore precedes the present decision under appeal before this Tribunal by over 2 years</w:t>
      </w:r>
    </w:p>
    <w:p w14:paraId="6EA99744" w14:textId="77777777" w:rsidR="00C824FC" w:rsidRDefault="00C824FC" w:rsidP="00C824FC">
      <w:pPr>
        <w:pStyle w:val="ListParagraph"/>
        <w:spacing w:after="0" w:line="240" w:lineRule="auto"/>
        <w:ind w:left="1676" w:right="555"/>
        <w:rPr>
          <w:rFonts w:ascii="Arial" w:eastAsia="Times New Roman" w:hAnsi="Arial" w:cs="Arial"/>
          <w:sz w:val="24"/>
          <w:szCs w:val="20"/>
        </w:rPr>
      </w:pPr>
    </w:p>
    <w:p w14:paraId="09CFC7B4" w14:textId="420643BF" w:rsidR="00C824FC" w:rsidRDefault="00C824FC" w:rsidP="00A70643">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I think it is necessary to set out the historical background to the Respondent’s statement</w:t>
      </w:r>
    </w:p>
    <w:p w14:paraId="6C0A7B11" w14:textId="77777777" w:rsidR="00C824FC" w:rsidRDefault="00C824FC" w:rsidP="00C824FC">
      <w:pPr>
        <w:pStyle w:val="ListParagraph"/>
        <w:spacing w:after="0" w:line="240" w:lineRule="auto"/>
        <w:ind w:left="1676" w:right="555"/>
        <w:rPr>
          <w:rFonts w:ascii="Arial" w:eastAsia="Times New Roman" w:hAnsi="Arial" w:cs="Arial"/>
          <w:sz w:val="24"/>
          <w:szCs w:val="20"/>
        </w:rPr>
      </w:pPr>
    </w:p>
    <w:p w14:paraId="023D9CAE" w14:textId="3C1D93F0" w:rsidR="00C824FC" w:rsidRDefault="00C824FC" w:rsidP="00A70643">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The Respondent did not seek to appeal MH but instead decided to amend the Regulations from 8 March 2017 in order to reverse the effect of MH</w:t>
      </w:r>
    </w:p>
    <w:p w14:paraId="710DB086" w14:textId="77777777" w:rsidR="00C824FC" w:rsidRPr="00C824FC" w:rsidRDefault="00C824FC" w:rsidP="00C824FC">
      <w:pPr>
        <w:pStyle w:val="ListParagraph"/>
        <w:rPr>
          <w:rFonts w:ascii="Arial" w:eastAsia="Times New Roman" w:hAnsi="Arial" w:cs="Arial"/>
          <w:sz w:val="24"/>
          <w:szCs w:val="20"/>
        </w:rPr>
      </w:pPr>
    </w:p>
    <w:p w14:paraId="55C13B53" w14:textId="4D628C1B" w:rsidR="00C824FC" w:rsidRDefault="00C824FC" w:rsidP="00A70643">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 xml:space="preserve">Her action was challenged in the High Court (RF </w:t>
      </w:r>
      <w:r w:rsidRPr="00C824FC">
        <w:rPr>
          <w:rFonts w:ascii="Arial" w:eastAsia="Times New Roman" w:hAnsi="Arial" w:cs="Arial"/>
          <w:sz w:val="24"/>
          <w:szCs w:val="20"/>
        </w:rPr>
        <w:t>[2017] EWHC 3375 (Admin)</w:t>
      </w:r>
      <w:r w:rsidR="00750907">
        <w:rPr>
          <w:rFonts w:ascii="Arial" w:eastAsia="Times New Roman" w:hAnsi="Arial" w:cs="Arial"/>
          <w:sz w:val="24"/>
          <w:szCs w:val="20"/>
        </w:rPr>
        <w:t>)</w:t>
      </w:r>
      <w:r>
        <w:rPr>
          <w:rFonts w:ascii="Arial" w:eastAsia="Times New Roman" w:hAnsi="Arial" w:cs="Arial"/>
          <w:sz w:val="24"/>
          <w:szCs w:val="20"/>
        </w:rPr>
        <w:t>.  Judgement was issued on 21 December 2017 and the amended Regulations were</w:t>
      </w:r>
      <w:r w:rsidR="00750907">
        <w:rPr>
          <w:rFonts w:ascii="Arial" w:eastAsia="Times New Roman" w:hAnsi="Arial" w:cs="Arial"/>
          <w:sz w:val="24"/>
          <w:szCs w:val="20"/>
        </w:rPr>
        <w:t xml:space="preserve"> consequently</w:t>
      </w:r>
      <w:r>
        <w:rPr>
          <w:rFonts w:ascii="Arial" w:eastAsia="Times New Roman" w:hAnsi="Arial" w:cs="Arial"/>
          <w:sz w:val="24"/>
          <w:szCs w:val="20"/>
        </w:rPr>
        <w:t xml:space="preserve"> quashed</w:t>
      </w:r>
    </w:p>
    <w:p w14:paraId="77619B8A" w14:textId="77777777" w:rsidR="00C824FC" w:rsidRPr="00C824FC" w:rsidRDefault="00C824FC" w:rsidP="00C824FC">
      <w:pPr>
        <w:pStyle w:val="ListParagraph"/>
        <w:rPr>
          <w:rFonts w:ascii="Arial" w:eastAsia="Times New Roman" w:hAnsi="Arial" w:cs="Arial"/>
          <w:sz w:val="24"/>
          <w:szCs w:val="20"/>
        </w:rPr>
      </w:pPr>
    </w:p>
    <w:p w14:paraId="2AC58A91" w14:textId="14AC10AD" w:rsidR="00C824FC" w:rsidRDefault="00C824FC" w:rsidP="00A70643">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The Respondent decided not to appeal RF.</w:t>
      </w:r>
    </w:p>
    <w:p w14:paraId="68569FFA" w14:textId="77777777" w:rsidR="00C824FC" w:rsidRPr="00C824FC" w:rsidRDefault="00C824FC" w:rsidP="00C824FC">
      <w:pPr>
        <w:pStyle w:val="ListParagraph"/>
        <w:rPr>
          <w:rFonts w:ascii="Arial" w:eastAsia="Times New Roman" w:hAnsi="Arial" w:cs="Arial"/>
          <w:sz w:val="24"/>
          <w:szCs w:val="20"/>
        </w:rPr>
      </w:pPr>
    </w:p>
    <w:p w14:paraId="28087AAA" w14:textId="57547F3A" w:rsidR="00C824FC" w:rsidRDefault="00C824FC" w:rsidP="00A70643">
      <w:pPr>
        <w:pStyle w:val="ListParagraph"/>
        <w:numPr>
          <w:ilvl w:val="1"/>
          <w:numId w:val="28"/>
        </w:numPr>
        <w:spacing w:after="0" w:line="240" w:lineRule="auto"/>
        <w:ind w:right="555"/>
        <w:rPr>
          <w:rFonts w:ascii="Arial" w:eastAsia="Times New Roman" w:hAnsi="Arial" w:cs="Arial"/>
          <w:sz w:val="24"/>
          <w:szCs w:val="20"/>
        </w:rPr>
      </w:pPr>
      <w:r>
        <w:rPr>
          <w:rFonts w:ascii="Arial" w:eastAsia="Times New Roman" w:hAnsi="Arial" w:cs="Arial"/>
          <w:sz w:val="24"/>
          <w:szCs w:val="20"/>
        </w:rPr>
        <w:t xml:space="preserve">I can see no reason why the Respondent should see fit to look at Mr </w:t>
      </w:r>
      <w:r w:rsidR="00394A17">
        <w:rPr>
          <w:rFonts w:ascii="Arial" w:eastAsia="Times New Roman" w:hAnsi="Arial" w:cs="Arial"/>
          <w:sz w:val="24"/>
          <w:szCs w:val="20"/>
        </w:rPr>
        <w:t>X</w:t>
      </w:r>
      <w:r>
        <w:rPr>
          <w:rFonts w:ascii="Arial" w:eastAsia="Times New Roman" w:hAnsi="Arial" w:cs="Arial"/>
          <w:sz w:val="24"/>
          <w:szCs w:val="20"/>
        </w:rPr>
        <w:t xml:space="preserve">’s case again because of MH given that she chose not to appeal RF over a year before Mr </w:t>
      </w:r>
      <w:r w:rsidR="00394A17">
        <w:rPr>
          <w:rFonts w:ascii="Arial" w:eastAsia="Times New Roman" w:hAnsi="Arial" w:cs="Arial"/>
          <w:sz w:val="24"/>
          <w:szCs w:val="20"/>
        </w:rPr>
        <w:t>X</w:t>
      </w:r>
      <w:r>
        <w:rPr>
          <w:rFonts w:ascii="Arial" w:eastAsia="Times New Roman" w:hAnsi="Arial" w:cs="Arial"/>
          <w:sz w:val="24"/>
          <w:szCs w:val="20"/>
        </w:rPr>
        <w:t xml:space="preserve">’s case was assessed.  It seems to me that the Respondent’s reference to MH is yet another stock </w:t>
      </w:r>
      <w:r w:rsidR="002C2A21">
        <w:rPr>
          <w:rFonts w:ascii="Arial" w:eastAsia="Times New Roman" w:hAnsi="Arial" w:cs="Arial"/>
          <w:sz w:val="24"/>
          <w:szCs w:val="20"/>
        </w:rPr>
        <w:t xml:space="preserve"> paragraph that has been copied and pasted into the Response and I suggest that this indicates that the Response when taken as a whole is not a serious attempt to answer the points of dispute raised in this appeal.</w:t>
      </w:r>
    </w:p>
    <w:p w14:paraId="7EC0B73B" w14:textId="4EBFB60F" w:rsidR="00A70643" w:rsidRDefault="00A70643" w:rsidP="00A70643">
      <w:pPr>
        <w:spacing w:after="0" w:line="240" w:lineRule="auto"/>
        <w:ind w:right="555"/>
        <w:rPr>
          <w:rFonts w:ascii="Arial" w:eastAsia="Times New Roman" w:hAnsi="Arial" w:cs="Arial"/>
          <w:sz w:val="24"/>
          <w:szCs w:val="20"/>
        </w:rPr>
      </w:pPr>
    </w:p>
    <w:p w14:paraId="186172F6" w14:textId="47CFC3C9" w:rsidR="002C2A21" w:rsidRDefault="002C2A21" w:rsidP="00535636">
      <w:pPr>
        <w:numPr>
          <w:ilvl w:val="0"/>
          <w:numId w:val="28"/>
        </w:numPr>
        <w:spacing w:after="0" w:line="240" w:lineRule="auto"/>
        <w:ind w:left="720" w:right="555"/>
        <w:rPr>
          <w:rFonts w:ascii="Arial" w:eastAsia="Times New Roman" w:hAnsi="Arial" w:cs="Arial"/>
          <w:sz w:val="24"/>
          <w:szCs w:val="20"/>
        </w:rPr>
      </w:pPr>
      <w:r w:rsidRPr="002C2A21">
        <w:rPr>
          <w:rFonts w:ascii="Arial" w:eastAsia="Times New Roman" w:hAnsi="Arial" w:cs="Arial"/>
          <w:sz w:val="24"/>
          <w:szCs w:val="20"/>
        </w:rPr>
        <w:t xml:space="preserve">The Tribunal </w:t>
      </w:r>
      <w:r>
        <w:rPr>
          <w:rFonts w:ascii="Arial" w:eastAsia="Times New Roman" w:hAnsi="Arial" w:cs="Arial"/>
          <w:sz w:val="24"/>
          <w:szCs w:val="20"/>
        </w:rPr>
        <w:t xml:space="preserve">is obviously </w:t>
      </w:r>
      <w:r w:rsidRPr="002C2A21">
        <w:rPr>
          <w:rFonts w:ascii="Arial" w:eastAsia="Times New Roman" w:hAnsi="Arial" w:cs="Arial"/>
          <w:sz w:val="24"/>
          <w:szCs w:val="20"/>
        </w:rPr>
        <w:t>bound by MH.  It is therefore arguable following MH that 10 points should be awarded on Mobility Descriptor 1 (d), given that it was held in MH that following a route involves more than just navigating</w:t>
      </w:r>
      <w:r>
        <w:rPr>
          <w:rFonts w:ascii="Arial" w:eastAsia="Times New Roman" w:hAnsi="Arial" w:cs="Arial"/>
          <w:sz w:val="24"/>
          <w:szCs w:val="20"/>
        </w:rPr>
        <w:t>.</w:t>
      </w:r>
    </w:p>
    <w:p w14:paraId="0896E3B8" w14:textId="77777777" w:rsidR="002C2A21" w:rsidRDefault="002C2A21" w:rsidP="002C2A21">
      <w:pPr>
        <w:spacing w:after="0" w:line="240" w:lineRule="auto"/>
        <w:ind w:left="720" w:right="555"/>
        <w:rPr>
          <w:rFonts w:ascii="Arial" w:eastAsia="Times New Roman" w:hAnsi="Arial" w:cs="Arial"/>
          <w:sz w:val="24"/>
          <w:szCs w:val="20"/>
        </w:rPr>
      </w:pPr>
    </w:p>
    <w:p w14:paraId="28CC755A" w14:textId="77777777" w:rsidR="002C2A21" w:rsidRPr="002C2A21" w:rsidRDefault="002C2A21" w:rsidP="00A5083E">
      <w:pPr>
        <w:numPr>
          <w:ilvl w:val="0"/>
          <w:numId w:val="28"/>
        </w:numPr>
        <w:spacing w:after="0" w:line="240" w:lineRule="auto"/>
        <w:ind w:left="709" w:right="555"/>
        <w:rPr>
          <w:rFonts w:ascii="Arial" w:eastAsia="Times New Roman" w:hAnsi="Arial" w:cs="Arial"/>
          <w:sz w:val="24"/>
          <w:szCs w:val="20"/>
        </w:rPr>
      </w:pPr>
      <w:r w:rsidRPr="002C2A21">
        <w:rPr>
          <w:rFonts w:ascii="Arial" w:eastAsia="Times New Roman" w:hAnsi="Arial" w:cs="Arial"/>
          <w:sz w:val="24"/>
          <w:szCs w:val="20"/>
        </w:rPr>
        <w:t xml:space="preserve">It is also beyond doubt following the Supreme Court’s Judgment  in Secretary of State for Work and Pensions (Appellant) v MM (Respondent) (Scotland) [2019] </w:t>
      </w:r>
      <w:r w:rsidRPr="002C2A21">
        <w:rPr>
          <w:rFonts w:ascii="Arial" w:eastAsia="Times New Roman" w:hAnsi="Arial" w:cs="Arial"/>
          <w:sz w:val="24"/>
          <w:szCs w:val="20"/>
        </w:rPr>
        <w:lastRenderedPageBreak/>
        <w:t>UKSC 34 that the need for social support in connection with Descriptor 9 does not necessarily mean that such support must be given within the confines of the engagement itself.( [2019] UKSC 34 at [43]). The Supreme Court (at [35]) also approved of what the Court of Session held in their Judgement at [55]</w:t>
      </w:r>
    </w:p>
    <w:p w14:paraId="46BEB943" w14:textId="77777777" w:rsidR="002C2A21" w:rsidRPr="002C2A21" w:rsidRDefault="002C2A21" w:rsidP="002C2A21">
      <w:pPr>
        <w:spacing w:after="0" w:line="240" w:lineRule="auto"/>
        <w:ind w:left="465" w:right="555"/>
        <w:rPr>
          <w:rFonts w:ascii="Arial" w:eastAsia="Times New Roman" w:hAnsi="Arial" w:cs="Arial"/>
          <w:sz w:val="24"/>
          <w:szCs w:val="20"/>
        </w:rPr>
      </w:pPr>
    </w:p>
    <w:p w14:paraId="1DD628B1" w14:textId="2FA1677C" w:rsidR="002C2A21" w:rsidRDefault="002C2A21" w:rsidP="00750907">
      <w:pPr>
        <w:spacing w:after="0" w:line="240" w:lineRule="auto"/>
        <w:ind w:left="1985" w:right="980"/>
        <w:rPr>
          <w:rFonts w:ascii="Arial" w:eastAsia="Times New Roman" w:hAnsi="Arial" w:cs="Arial"/>
          <w:sz w:val="24"/>
          <w:szCs w:val="20"/>
        </w:rPr>
      </w:pPr>
      <w:r w:rsidRPr="002C2A21">
        <w:rPr>
          <w:rFonts w:ascii="Arial" w:eastAsia="Times New Roman" w:hAnsi="Arial" w:cs="Arial"/>
          <w:sz w:val="24"/>
          <w:szCs w:val="20"/>
        </w:rPr>
        <w:t>In our opinion the critical distinction between “prompting” (as defined in the Schedule) and “social support” is the fact that social support comes from a person trained or experienced in assisting people to engage in social situations. That does not mean, as the argument is somewhat unkindly parodied in some of the cases, that “prompting” qualifies as “social support” merely because the help is in fact given by a person trained or experienced in assisting people so to engage. There has to be some necessity for the help to be given by a person with this training or experience. In many cases it may well be that that is because the help is of some specialist kind which only a person trained in that specialism can deliver. For example, psychological support would normally be given by someone trained in psychology. This would clearly count as “social support”. But there may be cases where the support is in the nature of encouragement or explanation but, because of the claimant’s mental state, will only be effective if delivered by someone who is trained or experienced in delivering that type of support to that individual. In such a case there will not be a qualitative difference in the help given, but the help can be regarded as “support” because of the necessity for it to be provided by someone trained or experienced in delivering it.</w:t>
      </w:r>
    </w:p>
    <w:p w14:paraId="5E0BC4D4" w14:textId="77777777" w:rsidR="002C2A21" w:rsidRPr="002C2A21" w:rsidRDefault="002C2A21" w:rsidP="002C2A21">
      <w:pPr>
        <w:spacing w:after="0" w:line="240" w:lineRule="auto"/>
        <w:ind w:left="1276" w:right="555"/>
        <w:rPr>
          <w:rFonts w:ascii="Arial" w:eastAsia="Times New Roman" w:hAnsi="Arial" w:cs="Arial"/>
          <w:sz w:val="24"/>
          <w:szCs w:val="20"/>
        </w:rPr>
      </w:pPr>
    </w:p>
    <w:p w14:paraId="2C59D61C" w14:textId="5A7F5F76" w:rsidR="002C2A21" w:rsidRDefault="002C2A21" w:rsidP="00A12795">
      <w:pPr>
        <w:pStyle w:val="ListParagraph"/>
        <w:numPr>
          <w:ilvl w:val="1"/>
          <w:numId w:val="28"/>
        </w:numPr>
        <w:spacing w:after="0" w:line="240" w:lineRule="auto"/>
        <w:ind w:right="555"/>
        <w:rPr>
          <w:rFonts w:ascii="Arial" w:eastAsia="Times New Roman" w:hAnsi="Arial" w:cs="Arial"/>
          <w:sz w:val="24"/>
          <w:szCs w:val="20"/>
        </w:rPr>
      </w:pPr>
      <w:r w:rsidRPr="00A12795">
        <w:rPr>
          <w:rFonts w:ascii="Arial" w:eastAsia="Times New Roman" w:hAnsi="Arial" w:cs="Arial"/>
          <w:sz w:val="24"/>
          <w:szCs w:val="20"/>
        </w:rPr>
        <w:t xml:space="preserve">It is therefore arguable in the light of MM that Mr </w:t>
      </w:r>
      <w:r w:rsidR="00394A17">
        <w:rPr>
          <w:rFonts w:ascii="Arial" w:eastAsia="Times New Roman" w:hAnsi="Arial" w:cs="Arial"/>
          <w:sz w:val="24"/>
          <w:szCs w:val="20"/>
        </w:rPr>
        <w:t>X</w:t>
      </w:r>
      <w:r w:rsidR="00A12795">
        <w:rPr>
          <w:rFonts w:ascii="Arial" w:eastAsia="Times New Roman" w:hAnsi="Arial" w:cs="Arial"/>
          <w:sz w:val="24"/>
          <w:szCs w:val="20"/>
        </w:rPr>
        <w:t xml:space="preserve"> </w:t>
      </w:r>
      <w:r w:rsidRPr="00A12795">
        <w:rPr>
          <w:rFonts w:ascii="Arial" w:eastAsia="Times New Roman" w:hAnsi="Arial" w:cs="Arial"/>
          <w:sz w:val="24"/>
          <w:szCs w:val="20"/>
        </w:rPr>
        <w:t>requires social support in order to engage with other people</w:t>
      </w:r>
    </w:p>
    <w:p w14:paraId="364A28B1" w14:textId="5607D4F5" w:rsidR="00766AAD" w:rsidRDefault="00766AAD" w:rsidP="00766AAD">
      <w:pPr>
        <w:pStyle w:val="ListParagraph"/>
        <w:spacing w:after="0" w:line="240" w:lineRule="auto"/>
        <w:ind w:left="1676" w:right="555"/>
        <w:rPr>
          <w:rFonts w:ascii="Arial" w:eastAsia="Times New Roman" w:hAnsi="Arial" w:cs="Arial"/>
          <w:sz w:val="24"/>
          <w:szCs w:val="20"/>
        </w:rPr>
      </w:pPr>
    </w:p>
    <w:p w14:paraId="05819FDC" w14:textId="749F9B6A" w:rsidR="00766AAD" w:rsidRDefault="00766AAD" w:rsidP="00766AAD">
      <w:pPr>
        <w:pStyle w:val="ListParagraph"/>
        <w:numPr>
          <w:ilvl w:val="0"/>
          <w:numId w:val="28"/>
        </w:numPr>
        <w:spacing w:after="0" w:line="240" w:lineRule="auto"/>
        <w:ind w:left="993" w:right="555"/>
        <w:rPr>
          <w:rFonts w:ascii="Arial" w:eastAsia="Times New Roman" w:hAnsi="Arial" w:cs="Arial"/>
          <w:sz w:val="24"/>
          <w:szCs w:val="20"/>
        </w:rPr>
      </w:pPr>
      <w:r>
        <w:rPr>
          <w:rFonts w:ascii="Arial" w:eastAsia="Times New Roman" w:hAnsi="Arial" w:cs="Arial"/>
          <w:sz w:val="24"/>
          <w:szCs w:val="20"/>
        </w:rPr>
        <w:t xml:space="preserve">The Respondent </w:t>
      </w:r>
      <w:r w:rsidRPr="00766AAD">
        <w:rPr>
          <w:rFonts w:ascii="Arial" w:eastAsia="Times New Roman" w:hAnsi="Arial" w:cs="Arial"/>
          <w:b/>
          <w:bCs/>
          <w:sz w:val="24"/>
          <w:szCs w:val="20"/>
        </w:rPr>
        <w:t>(S4(5) page D of the Response</w:t>
      </w:r>
      <w:r>
        <w:rPr>
          <w:rFonts w:ascii="Arial" w:eastAsia="Times New Roman" w:hAnsi="Arial" w:cs="Arial"/>
          <w:sz w:val="24"/>
          <w:szCs w:val="20"/>
        </w:rPr>
        <w:t xml:space="preserve">) makes much of the fact that Mr </w:t>
      </w:r>
      <w:r w:rsidR="00394A17">
        <w:rPr>
          <w:rFonts w:ascii="Arial" w:eastAsia="Times New Roman" w:hAnsi="Arial" w:cs="Arial"/>
          <w:sz w:val="24"/>
          <w:szCs w:val="20"/>
        </w:rPr>
        <w:t>X</w:t>
      </w:r>
      <w:r>
        <w:rPr>
          <w:rFonts w:ascii="Arial" w:eastAsia="Times New Roman" w:hAnsi="Arial" w:cs="Arial"/>
          <w:sz w:val="24"/>
          <w:szCs w:val="20"/>
        </w:rPr>
        <w:t xml:space="preserve"> </w:t>
      </w:r>
      <w:r w:rsidR="00A5083E">
        <w:rPr>
          <w:rFonts w:ascii="Arial" w:eastAsia="Times New Roman" w:hAnsi="Arial" w:cs="Arial"/>
          <w:sz w:val="24"/>
          <w:szCs w:val="20"/>
        </w:rPr>
        <w:t xml:space="preserve">is not under a specialist for his mental health </w:t>
      </w:r>
    </w:p>
    <w:p w14:paraId="5C6A30A6" w14:textId="70D92A71" w:rsidR="00A5083E" w:rsidRDefault="00A5083E" w:rsidP="00A5083E">
      <w:pPr>
        <w:pStyle w:val="ListParagraph"/>
        <w:spacing w:after="0" w:line="240" w:lineRule="auto"/>
        <w:ind w:left="993" w:right="555"/>
        <w:rPr>
          <w:rFonts w:ascii="Arial" w:eastAsia="Times New Roman" w:hAnsi="Arial" w:cs="Arial"/>
          <w:sz w:val="24"/>
          <w:szCs w:val="20"/>
        </w:rPr>
      </w:pPr>
    </w:p>
    <w:p w14:paraId="67C4CB29" w14:textId="102311DD" w:rsidR="00A5083E" w:rsidRDefault="00A5083E" w:rsidP="005C7B3C">
      <w:pPr>
        <w:spacing w:after="0" w:line="260" w:lineRule="exact"/>
        <w:ind w:left="1418" w:right="322"/>
        <w:rPr>
          <w:rFonts w:ascii="Arial" w:eastAsia="Times New Roman" w:hAnsi="Arial" w:cs="Arial"/>
          <w:sz w:val="24"/>
          <w:szCs w:val="24"/>
        </w:rPr>
      </w:pPr>
      <w:r>
        <w:rPr>
          <w:rFonts w:ascii="Arial" w:eastAsia="Times New Roman" w:hAnsi="Arial" w:cs="Arial"/>
          <w:sz w:val="24"/>
          <w:szCs w:val="24"/>
        </w:rPr>
        <w:t xml:space="preserve">22.1 </w:t>
      </w:r>
      <w:r w:rsidRPr="00CA75A8">
        <w:rPr>
          <w:rFonts w:ascii="Arial" w:eastAsia="Times New Roman" w:hAnsi="Arial" w:cs="Arial"/>
          <w:sz w:val="24"/>
          <w:szCs w:val="24"/>
        </w:rPr>
        <w:t>I am reminded that The Adult Psychiatric Morbidity Survey 2014 found that one adult in ten with severe common mental disorder (CMD) symptoms (Clinical Interview Schedule (CIS-R). Disorders (CIS-R 18+) asked for a particular mental health treatment in the past 12 months but did not receive it.  I am also reminded that In R(DLA)3/06 the Tribunal of Commissioners held at [43] (the emphasis is mine)</w:t>
      </w:r>
    </w:p>
    <w:p w14:paraId="03B2D14B" w14:textId="77777777" w:rsidR="00A5083E" w:rsidRDefault="00A5083E" w:rsidP="00A5083E">
      <w:pPr>
        <w:spacing w:after="0" w:line="260" w:lineRule="exact"/>
        <w:ind w:left="786" w:right="322"/>
        <w:rPr>
          <w:rFonts w:ascii="Arial" w:eastAsia="Times New Roman" w:hAnsi="Arial" w:cs="Arial"/>
          <w:sz w:val="24"/>
          <w:szCs w:val="24"/>
        </w:rPr>
      </w:pPr>
    </w:p>
    <w:p w14:paraId="7E13E536" w14:textId="77777777" w:rsidR="00A5083E" w:rsidRPr="00CA75A8" w:rsidRDefault="00A5083E" w:rsidP="00A5083E">
      <w:pPr>
        <w:tabs>
          <w:tab w:val="left" w:pos="2127"/>
        </w:tabs>
        <w:spacing w:after="0" w:line="240" w:lineRule="auto"/>
        <w:ind w:left="2268" w:right="992"/>
        <w:rPr>
          <w:rFonts w:ascii="Arial" w:eastAsia="Times New Roman" w:hAnsi="Arial" w:cs="Arial"/>
          <w:sz w:val="24"/>
          <w:szCs w:val="20"/>
        </w:rPr>
      </w:pPr>
      <w:r w:rsidRPr="00CA75A8">
        <w:rPr>
          <w:rFonts w:ascii="Arial" w:eastAsia="Times New Roman" w:hAnsi="Arial" w:cs="Arial"/>
          <w:sz w:val="24"/>
          <w:szCs w:val="20"/>
        </w:rPr>
        <w:t xml:space="preserve">43. “Those care needs have to be assessed on the basis of all the available evidence.  As the authors of “Wikeley, Ogus &amp; Barendt’s The Law of Social Security” (5th edition (Butterworths, 2002) at page 680) observe, clinical tests cannot themselves determine functional incapacity, e.g. an inability to self-care.  However, we agree with Mr Commissioner Levenson (at paragraph 8 of the Common Appendix) that medical evidence, although not essential, will in many cases be important in determining whether a claimant has a disability, and, if so, in determining the extent of the care needs to which the disability gives rise.  For example, some medical conditions (such as the loss of a sense or a limb) give rise to obvious functional impairment.  Others (particularly psychiatric conditions) are diagnosed by reference to a constellation of </w:t>
      </w:r>
      <w:r w:rsidRPr="00CA75A8">
        <w:rPr>
          <w:rFonts w:ascii="Arial" w:eastAsia="Times New Roman" w:hAnsi="Arial" w:cs="Arial"/>
          <w:sz w:val="24"/>
          <w:szCs w:val="20"/>
        </w:rPr>
        <w:lastRenderedPageBreak/>
        <w:t xml:space="preserve">symptoms, and where such a diagnosis is made one might assume (or at least expect) certain symptoms or patterns of behaviour.  But that does not mean that, in the absence of a diagnosis (or even in the absence of any medical evidence), the statutory criteria will necessarily fail to be satisfied.  </w:t>
      </w:r>
      <w:r w:rsidRPr="00CA75A8">
        <w:rPr>
          <w:rFonts w:ascii="Arial" w:eastAsia="Times New Roman" w:hAnsi="Arial" w:cs="Arial"/>
          <w:b/>
          <w:sz w:val="24"/>
          <w:szCs w:val="20"/>
        </w:rPr>
        <w:t>There will be cases in which there has been no medical diagnosis of a disabling condition for some particular reason, for example, because a person with a psychiatric condition is unwilling to undergo treatment, or perhaps because of a shortage of medical resources in a particular area</w:t>
      </w:r>
      <w:r w:rsidRPr="00CA75A8">
        <w:rPr>
          <w:rFonts w:ascii="Arial" w:eastAsia="Times New Roman" w:hAnsi="Arial" w:cs="Arial"/>
          <w:sz w:val="24"/>
          <w:szCs w:val="20"/>
        </w:rPr>
        <w:t>.  The absence of a diagnosis does not necessarily negate entitlement to DLA, and the absence of such a diagnosis does not lift from the shoulders of a decision maker or tribunal the burden of assessing the evidence of disability such as it is.  For a tribunal, in the absence of a determinative diagnosis, all of the evidence of the functional abilities of the claimant will need to be considered, relevant findings of fact made in relation to those abilities, and a decision made as to whether the disability is such as to satisfy one or more of the statutory tests in section 72(1)(a) to (c) and section 73(1)</w:t>
      </w:r>
    </w:p>
    <w:p w14:paraId="5C4D46F2" w14:textId="77777777" w:rsidR="00A5083E" w:rsidRDefault="00A5083E" w:rsidP="00A5083E">
      <w:pPr>
        <w:spacing w:after="0" w:line="260" w:lineRule="exact"/>
        <w:ind w:left="2127" w:right="322"/>
        <w:rPr>
          <w:rFonts w:ascii="Arial" w:eastAsia="Times New Roman" w:hAnsi="Arial" w:cs="Arial"/>
          <w:sz w:val="24"/>
          <w:szCs w:val="24"/>
        </w:rPr>
      </w:pPr>
    </w:p>
    <w:p w14:paraId="1BA79559" w14:textId="07A41BA6" w:rsidR="00A5083E" w:rsidRPr="00A5083E" w:rsidRDefault="00A5083E" w:rsidP="005C7B3C">
      <w:pPr>
        <w:spacing w:after="0" w:line="260" w:lineRule="exact"/>
        <w:ind w:left="1418" w:right="322"/>
        <w:rPr>
          <w:rFonts w:ascii="Arial" w:eastAsia="Times New Roman" w:hAnsi="Arial" w:cs="Arial"/>
          <w:sz w:val="24"/>
          <w:szCs w:val="24"/>
        </w:rPr>
      </w:pPr>
      <w:r>
        <w:rPr>
          <w:rFonts w:ascii="Arial" w:eastAsia="Times New Roman" w:hAnsi="Arial" w:cs="Arial"/>
          <w:sz w:val="24"/>
          <w:szCs w:val="24"/>
        </w:rPr>
        <w:t xml:space="preserve">22.2 </w:t>
      </w:r>
      <w:r w:rsidRPr="00A5083E">
        <w:rPr>
          <w:rFonts w:ascii="Arial" w:eastAsia="Times New Roman" w:hAnsi="Arial" w:cs="Arial"/>
          <w:sz w:val="24"/>
          <w:szCs w:val="24"/>
        </w:rPr>
        <w:t>Judge Poynter followed R(DLA)3/06 in MM v SSWP (ESA) [2018] UKUT 446 (AAC) Judge Poynter held at [34-[35]</w:t>
      </w:r>
    </w:p>
    <w:p w14:paraId="07192C3C"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6BC2B669"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27DCD853" w14:textId="77777777" w:rsidR="00A5083E" w:rsidRDefault="00A5083E" w:rsidP="00A5083E">
      <w:pPr>
        <w:pStyle w:val="ListParagraph"/>
        <w:spacing w:after="0" w:line="260" w:lineRule="exact"/>
        <w:ind w:left="2268" w:right="322"/>
        <w:rPr>
          <w:rFonts w:ascii="Arial" w:eastAsia="Times New Roman" w:hAnsi="Arial" w:cs="Arial"/>
          <w:sz w:val="24"/>
          <w:szCs w:val="24"/>
        </w:rPr>
      </w:pPr>
      <w:r>
        <w:rPr>
          <w:rFonts w:ascii="Arial" w:eastAsia="Times New Roman" w:hAnsi="Arial" w:cs="Arial"/>
          <w:sz w:val="24"/>
          <w:szCs w:val="24"/>
        </w:rPr>
        <w:t xml:space="preserve">34 </w:t>
      </w:r>
      <w:r w:rsidRPr="006F07A1">
        <w:rPr>
          <w:rFonts w:ascii="Arial" w:eastAsia="Times New Roman" w:hAnsi="Arial" w:cs="Arial"/>
          <w:sz w:val="24"/>
          <w:szCs w:val="24"/>
        </w:rPr>
        <w:t>The claimant’s representative comments</w:t>
      </w:r>
    </w:p>
    <w:p w14:paraId="5E63BD7E"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336986B5" w14:textId="17D0D76E" w:rsidR="00A5083E" w:rsidRDefault="00A5083E" w:rsidP="00A5083E">
      <w:pPr>
        <w:pStyle w:val="ListParagraph"/>
        <w:spacing w:after="0" w:line="260" w:lineRule="exact"/>
        <w:ind w:left="3119" w:right="697"/>
        <w:rPr>
          <w:rFonts w:ascii="Arial" w:eastAsia="Times New Roman" w:hAnsi="Arial" w:cs="Arial"/>
          <w:sz w:val="24"/>
          <w:szCs w:val="24"/>
        </w:rPr>
      </w:pPr>
      <w:r w:rsidRPr="006F07A1">
        <w:rPr>
          <w:rFonts w:ascii="Arial" w:eastAsia="Times New Roman" w:hAnsi="Arial" w:cs="Arial"/>
          <w:sz w:val="24"/>
          <w:szCs w:val="24"/>
        </w:rPr>
        <w:t xml:space="preserve">: “A current lack of treatment is not by itself [a reason] including the appellant did not meet the qualifying criteria. … The appellant had had the conditions and symptoms for many years. It may be that management by the GP was currently considered the most appropriate by the appellant’s own health care professional, other treatments and interventions having taken place over [preceding] years. The tribunal made no findings about prior treatments and interventions the appellant had undergone. … The tribunal should have put those concerns to the appellant </w:t>
      </w:r>
      <w:r w:rsidR="000E31C3" w:rsidRPr="006F07A1">
        <w:rPr>
          <w:rFonts w:ascii="Arial" w:eastAsia="Times New Roman" w:hAnsi="Arial" w:cs="Arial"/>
          <w:sz w:val="24"/>
          <w:szCs w:val="24"/>
        </w:rPr>
        <w:t>and considered</w:t>
      </w:r>
      <w:r w:rsidRPr="006F07A1">
        <w:rPr>
          <w:rFonts w:ascii="Arial" w:eastAsia="Times New Roman" w:hAnsi="Arial" w:cs="Arial"/>
          <w:sz w:val="24"/>
          <w:szCs w:val="24"/>
        </w:rPr>
        <w:t xml:space="preserve"> an adjournment to seek further evidence to address this issue.</w:t>
      </w:r>
    </w:p>
    <w:p w14:paraId="2425A966" w14:textId="77777777" w:rsidR="00A5083E" w:rsidRDefault="00A5083E" w:rsidP="00A5083E">
      <w:pPr>
        <w:pStyle w:val="ListParagraph"/>
        <w:spacing w:after="0" w:line="260" w:lineRule="exact"/>
        <w:ind w:left="1637" w:right="322"/>
        <w:rPr>
          <w:rFonts w:ascii="Arial" w:eastAsia="Times New Roman" w:hAnsi="Arial" w:cs="Arial"/>
          <w:sz w:val="24"/>
          <w:szCs w:val="24"/>
        </w:rPr>
      </w:pPr>
    </w:p>
    <w:p w14:paraId="53E066ED" w14:textId="77777777" w:rsidR="00A5083E" w:rsidRDefault="00A5083E" w:rsidP="00A5083E">
      <w:pPr>
        <w:pStyle w:val="ListParagraph"/>
        <w:spacing w:after="0" w:line="260" w:lineRule="exact"/>
        <w:ind w:left="2268" w:right="322"/>
        <w:rPr>
          <w:rFonts w:ascii="Arial" w:eastAsia="Times New Roman" w:hAnsi="Arial" w:cs="Arial"/>
          <w:sz w:val="24"/>
          <w:szCs w:val="24"/>
        </w:rPr>
      </w:pPr>
      <w:r w:rsidRPr="006F07A1">
        <w:rPr>
          <w:rFonts w:ascii="Arial" w:eastAsia="Times New Roman" w:hAnsi="Arial" w:cs="Arial"/>
          <w:sz w:val="24"/>
          <w:szCs w:val="24"/>
        </w:rPr>
        <w:t xml:space="preserve"> 35 I broadly agree with those observations. However, I do not agree that the tribunal should have put its concerns to the appellant. The claimant is not medically qualified and therefore lacked the knowledge to respond to any concerns the Tribunal may have had on this point. It is difficult to see how she could have commented other than to suggest that the treatment she received was a matter for her GP’s professional judgment which she was not in a position to second-guess.</w:t>
      </w:r>
    </w:p>
    <w:p w14:paraId="62D966C4" w14:textId="77777777" w:rsidR="00A5083E" w:rsidRDefault="00A5083E" w:rsidP="00A5083E">
      <w:pPr>
        <w:pStyle w:val="ListParagraph"/>
        <w:spacing w:after="0" w:line="260" w:lineRule="exact"/>
        <w:ind w:left="2268" w:right="322"/>
        <w:rPr>
          <w:rFonts w:ascii="Arial" w:eastAsia="Times New Roman" w:hAnsi="Arial" w:cs="Arial"/>
          <w:sz w:val="24"/>
          <w:szCs w:val="24"/>
        </w:rPr>
      </w:pPr>
    </w:p>
    <w:p w14:paraId="563E1E98" w14:textId="4AA13CE6" w:rsidR="00A5083E" w:rsidRDefault="00A5083E" w:rsidP="005C7B3C">
      <w:pPr>
        <w:pStyle w:val="ListParagraph"/>
        <w:spacing w:after="0" w:line="240" w:lineRule="auto"/>
        <w:ind w:left="1418" w:right="555"/>
        <w:rPr>
          <w:rFonts w:ascii="Arial" w:eastAsia="Times New Roman" w:hAnsi="Arial" w:cs="Arial"/>
          <w:sz w:val="24"/>
          <w:szCs w:val="24"/>
        </w:rPr>
      </w:pPr>
      <w:r>
        <w:rPr>
          <w:rFonts w:ascii="Arial" w:eastAsia="Times New Roman" w:hAnsi="Arial" w:cs="Arial"/>
          <w:sz w:val="24"/>
          <w:szCs w:val="24"/>
        </w:rPr>
        <w:t xml:space="preserve">22.3 The Respondent’s conclusions that Mr </w:t>
      </w:r>
      <w:r w:rsidR="00394A17">
        <w:rPr>
          <w:rFonts w:ascii="Arial" w:eastAsia="Times New Roman" w:hAnsi="Arial" w:cs="Arial"/>
          <w:sz w:val="24"/>
          <w:szCs w:val="24"/>
        </w:rPr>
        <w:t>X</w:t>
      </w:r>
      <w:r>
        <w:rPr>
          <w:rFonts w:ascii="Arial" w:eastAsia="Times New Roman" w:hAnsi="Arial" w:cs="Arial"/>
          <w:sz w:val="24"/>
          <w:szCs w:val="24"/>
        </w:rPr>
        <w:t xml:space="preserve"> has few mental health limitations is therefore not justified in the light of the </w:t>
      </w:r>
      <w:r w:rsidR="00DE49CC" w:rsidRPr="00DE49CC">
        <w:rPr>
          <w:rFonts w:ascii="Arial" w:eastAsia="Times New Roman" w:hAnsi="Arial" w:cs="Arial"/>
          <w:sz w:val="24"/>
          <w:szCs w:val="24"/>
        </w:rPr>
        <w:t>Adult Psychiatric Morbidity Survey 2014</w:t>
      </w:r>
      <w:r w:rsidR="00AC6DA9">
        <w:rPr>
          <w:rFonts w:ascii="Arial" w:eastAsia="Times New Roman" w:hAnsi="Arial" w:cs="Arial"/>
          <w:sz w:val="24"/>
          <w:szCs w:val="24"/>
        </w:rPr>
        <w:t>,</w:t>
      </w:r>
      <w:r w:rsidR="00DE49CC">
        <w:rPr>
          <w:rFonts w:ascii="Arial" w:eastAsia="Times New Roman" w:hAnsi="Arial" w:cs="Arial"/>
          <w:sz w:val="24"/>
          <w:szCs w:val="24"/>
        </w:rPr>
        <w:t xml:space="preserve"> and the authorities </w:t>
      </w:r>
      <w:r w:rsidR="00932154">
        <w:rPr>
          <w:rFonts w:ascii="Arial" w:eastAsia="Times New Roman" w:hAnsi="Arial" w:cs="Arial"/>
          <w:sz w:val="24"/>
          <w:szCs w:val="24"/>
        </w:rPr>
        <w:t>I have cited.</w:t>
      </w:r>
    </w:p>
    <w:p w14:paraId="00E2678B" w14:textId="08AAEF01" w:rsidR="00932154" w:rsidRDefault="00932154" w:rsidP="005C7B3C">
      <w:pPr>
        <w:pStyle w:val="ListParagraph"/>
        <w:spacing w:after="0" w:line="240" w:lineRule="auto"/>
        <w:ind w:left="1418" w:right="555"/>
        <w:rPr>
          <w:rFonts w:ascii="Arial" w:eastAsia="Times New Roman" w:hAnsi="Arial" w:cs="Arial"/>
          <w:sz w:val="24"/>
          <w:szCs w:val="24"/>
        </w:rPr>
      </w:pPr>
    </w:p>
    <w:p w14:paraId="209FB2FD" w14:textId="5888859B" w:rsidR="00932154" w:rsidRDefault="00932154" w:rsidP="00932154">
      <w:pPr>
        <w:pStyle w:val="ListParagraph"/>
        <w:numPr>
          <w:ilvl w:val="0"/>
          <w:numId w:val="31"/>
        </w:numPr>
        <w:spacing w:after="0" w:line="240" w:lineRule="auto"/>
        <w:ind w:left="851" w:right="555"/>
        <w:rPr>
          <w:rFonts w:ascii="Arial" w:eastAsia="Times New Roman" w:hAnsi="Arial" w:cs="Arial"/>
          <w:sz w:val="24"/>
          <w:szCs w:val="24"/>
        </w:rPr>
      </w:pPr>
      <w:r>
        <w:rPr>
          <w:rFonts w:ascii="Arial" w:eastAsia="Times New Roman" w:hAnsi="Arial" w:cs="Arial"/>
          <w:sz w:val="24"/>
          <w:szCs w:val="24"/>
        </w:rPr>
        <w:t>I therefore ask the Tribunal to allow the appeal for the reasons outlined above.</w:t>
      </w:r>
    </w:p>
    <w:p w14:paraId="5E5BDC69" w14:textId="05239193" w:rsidR="00DE49CC" w:rsidRDefault="00DE49CC" w:rsidP="00A5083E">
      <w:pPr>
        <w:pStyle w:val="ListParagraph"/>
        <w:spacing w:after="0" w:line="240" w:lineRule="auto"/>
        <w:ind w:left="993" w:right="555"/>
        <w:rPr>
          <w:rFonts w:ascii="Arial" w:eastAsia="Times New Roman" w:hAnsi="Arial" w:cs="Arial"/>
          <w:sz w:val="24"/>
          <w:szCs w:val="24"/>
        </w:rPr>
      </w:pPr>
    </w:p>
    <w:p w14:paraId="40945752" w14:textId="230896FA" w:rsidR="00DE49CC" w:rsidRDefault="00AC6DA9" w:rsidP="00DE49CC">
      <w:pPr>
        <w:pStyle w:val="ListParagraph"/>
        <w:spacing w:after="0" w:line="240" w:lineRule="auto"/>
        <w:ind w:left="142" w:right="555"/>
        <w:rPr>
          <w:rFonts w:ascii="Arial" w:eastAsia="Times New Roman" w:hAnsi="Arial" w:cs="Arial"/>
          <w:sz w:val="24"/>
          <w:szCs w:val="20"/>
        </w:rPr>
      </w:pPr>
      <w:r w:rsidRPr="00A6556F">
        <w:rPr>
          <w:rFonts w:ascii="Arial" w:eastAsia="Times New Roman" w:hAnsi="Arial" w:cs="Arial"/>
          <w:noProof/>
          <w:sz w:val="24"/>
          <w:szCs w:val="24"/>
          <w:lang w:eastAsia="en-GB"/>
        </w:rPr>
        <w:lastRenderedPageBreak/>
        <w:drawing>
          <wp:anchor distT="0" distB="0" distL="114300" distR="114300" simplePos="0" relativeHeight="251659264" behindDoc="0" locked="0" layoutInCell="1" allowOverlap="1" wp14:anchorId="3B230A9D" wp14:editId="116F2C92">
            <wp:simplePos x="0" y="0"/>
            <wp:positionH relativeFrom="column">
              <wp:posOffset>628650</wp:posOffset>
            </wp:positionH>
            <wp:positionV relativeFrom="paragraph">
              <wp:posOffset>13335</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390DF6E0" w14:textId="77777777" w:rsidR="00A5083E" w:rsidRPr="00A12795" w:rsidRDefault="00A5083E" w:rsidP="00A5083E">
      <w:pPr>
        <w:pStyle w:val="ListParagraph"/>
        <w:spacing w:after="0" w:line="240" w:lineRule="auto"/>
        <w:ind w:left="993" w:right="555"/>
        <w:rPr>
          <w:rFonts w:ascii="Arial" w:eastAsia="Times New Roman" w:hAnsi="Arial" w:cs="Arial"/>
          <w:sz w:val="24"/>
          <w:szCs w:val="20"/>
        </w:rPr>
      </w:pPr>
    </w:p>
    <w:p w14:paraId="4455269B" w14:textId="43A4C439" w:rsidR="00A12795" w:rsidRDefault="00A12795" w:rsidP="00A12795">
      <w:pPr>
        <w:pStyle w:val="ListParagraph"/>
        <w:spacing w:after="0" w:line="240" w:lineRule="auto"/>
        <w:ind w:left="1676" w:right="555"/>
        <w:rPr>
          <w:rFonts w:ascii="Arial" w:eastAsia="Times New Roman" w:hAnsi="Arial" w:cs="Arial"/>
          <w:sz w:val="24"/>
          <w:szCs w:val="20"/>
        </w:rPr>
      </w:pPr>
    </w:p>
    <w:p w14:paraId="6256E884" w14:textId="03FEF2C8" w:rsidR="007F3B41" w:rsidRDefault="00A6556F" w:rsidP="000E31C3">
      <w:pPr>
        <w:spacing w:after="0" w:line="240" w:lineRule="auto"/>
        <w:ind w:right="271" w:firstLine="720"/>
        <w:rPr>
          <w:rFonts w:ascii="Arial" w:eastAsia="Times New Roman" w:hAnsi="Arial" w:cs="Arial"/>
          <w:sz w:val="24"/>
          <w:szCs w:val="24"/>
        </w:rPr>
      </w:pPr>
      <w:r w:rsidRPr="00A6556F">
        <w:rPr>
          <w:rFonts w:ascii="Arial" w:eastAsia="Times New Roman" w:hAnsi="Arial" w:cs="Arial"/>
          <w:sz w:val="24"/>
          <w:szCs w:val="24"/>
        </w:rPr>
        <w:t xml:space="preserve">For the Appellant </w:t>
      </w:r>
    </w:p>
    <w:p w14:paraId="30E0FF18" w14:textId="42A70214" w:rsidR="00AC6DA9" w:rsidRDefault="00AC6DA9" w:rsidP="000E31C3">
      <w:pPr>
        <w:spacing w:after="0" w:line="240" w:lineRule="auto"/>
        <w:ind w:right="271" w:firstLine="720"/>
        <w:rPr>
          <w:rFonts w:ascii="Arial" w:eastAsia="Times New Roman" w:hAnsi="Arial" w:cs="Arial"/>
          <w:sz w:val="24"/>
          <w:szCs w:val="24"/>
        </w:rPr>
      </w:pPr>
    </w:p>
    <w:p w14:paraId="1C078240" w14:textId="671C8194" w:rsidR="00AC6DA9" w:rsidRDefault="00AC6DA9" w:rsidP="000E31C3">
      <w:pPr>
        <w:spacing w:after="0" w:line="240" w:lineRule="auto"/>
        <w:ind w:right="271" w:firstLine="720"/>
        <w:rPr>
          <w:rFonts w:ascii="Arial" w:eastAsia="Times New Roman" w:hAnsi="Arial" w:cs="Arial"/>
          <w:sz w:val="24"/>
          <w:szCs w:val="24"/>
        </w:rPr>
      </w:pPr>
    </w:p>
    <w:p w14:paraId="4BA3EAAC" w14:textId="77777777" w:rsidR="00AC6DA9" w:rsidRDefault="00AC6DA9" w:rsidP="000E31C3">
      <w:pPr>
        <w:spacing w:after="0" w:line="240" w:lineRule="auto"/>
        <w:ind w:right="271" w:firstLine="720"/>
        <w:rPr>
          <w:rFonts w:ascii="Arial" w:eastAsia="Times New Roman" w:hAnsi="Arial" w:cs="Arial"/>
          <w:sz w:val="24"/>
          <w:szCs w:val="24"/>
        </w:rPr>
      </w:pPr>
    </w:p>
    <w:p w14:paraId="3C935F7C" w14:textId="77777777" w:rsidR="00DE49CC" w:rsidRDefault="00DE49CC" w:rsidP="000E31C3">
      <w:pPr>
        <w:spacing w:after="0" w:line="240" w:lineRule="auto"/>
        <w:ind w:right="271" w:firstLine="720"/>
        <w:rPr>
          <w:rFonts w:ascii="Arial" w:eastAsia="Times New Roman" w:hAnsi="Arial" w:cs="Arial"/>
          <w:sz w:val="24"/>
          <w:szCs w:val="24"/>
        </w:rPr>
      </w:pPr>
    </w:p>
    <w:p w14:paraId="60DF96C9" w14:textId="7CA883AB" w:rsidR="00926EE2" w:rsidRDefault="00926EE2" w:rsidP="001F1245">
      <w:pPr>
        <w:spacing w:after="0" w:line="240" w:lineRule="auto"/>
        <w:ind w:left="5760" w:right="271" w:firstLine="720"/>
      </w:pPr>
    </w:p>
    <w:tbl>
      <w:tblPr>
        <w:tblStyle w:val="TableGrid"/>
        <w:tblW w:w="0" w:type="auto"/>
        <w:tblLook w:val="04A0" w:firstRow="1" w:lastRow="0" w:firstColumn="1" w:lastColumn="0" w:noHBand="0" w:noVBand="1"/>
      </w:tblPr>
      <w:tblGrid>
        <w:gridCol w:w="10326"/>
      </w:tblGrid>
      <w:tr w:rsidR="00926EE2" w:rsidRPr="00926EE2" w14:paraId="1656F270" w14:textId="77777777" w:rsidTr="00926EE2">
        <w:tc>
          <w:tcPr>
            <w:tcW w:w="10326" w:type="dxa"/>
          </w:tcPr>
          <w:p w14:paraId="7693920D" w14:textId="77777777" w:rsidR="00926EE2" w:rsidRPr="00926EE2" w:rsidRDefault="00926EE2" w:rsidP="00906037">
            <w:pPr>
              <w:rPr>
                <w:rFonts w:ascii="Arial" w:hAnsi="Arial" w:cs="Arial"/>
                <w:sz w:val="24"/>
                <w:szCs w:val="24"/>
              </w:rPr>
            </w:pPr>
            <w:r w:rsidRPr="00926EE2">
              <w:rPr>
                <w:rFonts w:ascii="Arial" w:hAnsi="Arial" w:cs="Arial"/>
                <w:sz w:val="24"/>
                <w:szCs w:val="24"/>
              </w:rPr>
              <w:t>Attachments</w:t>
            </w:r>
          </w:p>
        </w:tc>
      </w:tr>
      <w:tr w:rsidR="00926EE2" w:rsidRPr="00926EE2" w14:paraId="20301323" w14:textId="77777777" w:rsidTr="00926EE2">
        <w:tc>
          <w:tcPr>
            <w:tcW w:w="10326" w:type="dxa"/>
          </w:tcPr>
          <w:p w14:paraId="209F73F4" w14:textId="1D752146" w:rsidR="00926EE2" w:rsidRPr="00926EE2" w:rsidRDefault="000E31C3" w:rsidP="00906037">
            <w:pPr>
              <w:rPr>
                <w:rFonts w:ascii="Arial" w:hAnsi="Arial" w:cs="Arial"/>
                <w:sz w:val="24"/>
                <w:szCs w:val="24"/>
              </w:rPr>
            </w:pPr>
            <w:r>
              <w:rPr>
                <w:rFonts w:ascii="Arial" w:hAnsi="Arial" w:cs="Arial"/>
                <w:sz w:val="24"/>
                <w:szCs w:val="24"/>
              </w:rPr>
              <w:t xml:space="preserve">Copy of </w:t>
            </w:r>
            <w:r w:rsidR="00FA3BAE">
              <w:rPr>
                <w:rFonts w:ascii="Arial" w:hAnsi="Arial" w:cs="Arial"/>
                <w:sz w:val="24"/>
                <w:szCs w:val="24"/>
              </w:rPr>
              <w:t>Tribunal</w:t>
            </w:r>
            <w:r>
              <w:rPr>
                <w:rFonts w:ascii="Arial" w:hAnsi="Arial" w:cs="Arial"/>
                <w:sz w:val="24"/>
                <w:szCs w:val="24"/>
              </w:rPr>
              <w:t xml:space="preserve"> Decision Notice</w:t>
            </w:r>
            <w:r w:rsidR="00FA3BAE">
              <w:rPr>
                <w:rFonts w:ascii="Arial" w:hAnsi="Arial" w:cs="Arial"/>
                <w:sz w:val="24"/>
                <w:szCs w:val="24"/>
              </w:rPr>
              <w:t xml:space="preserve"> re ESA </w:t>
            </w:r>
            <w:r>
              <w:rPr>
                <w:rFonts w:ascii="Arial" w:hAnsi="Arial" w:cs="Arial"/>
                <w:sz w:val="24"/>
                <w:szCs w:val="24"/>
              </w:rPr>
              <w:t xml:space="preserve"> 24 November 2017</w:t>
            </w:r>
          </w:p>
        </w:tc>
      </w:tr>
      <w:tr w:rsidR="000E31C3" w:rsidRPr="00926EE2" w14:paraId="404DD276" w14:textId="77777777" w:rsidTr="00926EE2">
        <w:tc>
          <w:tcPr>
            <w:tcW w:w="10326" w:type="dxa"/>
          </w:tcPr>
          <w:p w14:paraId="0F5EBB8D" w14:textId="5AB0BE56" w:rsidR="000E31C3" w:rsidRDefault="00DE49CC" w:rsidP="00906037">
            <w:pPr>
              <w:rPr>
                <w:rFonts w:ascii="Arial" w:hAnsi="Arial" w:cs="Arial"/>
                <w:sz w:val="24"/>
                <w:szCs w:val="24"/>
              </w:rPr>
            </w:pPr>
            <w:r w:rsidRPr="00DE49CC">
              <w:rPr>
                <w:rFonts w:ascii="Arial" w:hAnsi="Arial" w:cs="Arial"/>
                <w:sz w:val="24"/>
                <w:szCs w:val="24"/>
              </w:rPr>
              <w:t>Whiting et al. Cannabinoids for Medical Use A Systematic Review and Meta-analysis Journal of the American Medical Association JAMA.2015;313(24):2456-2473.</w:t>
            </w:r>
          </w:p>
        </w:tc>
      </w:tr>
    </w:tbl>
    <w:p w14:paraId="2E927881" w14:textId="77777777" w:rsidR="00926EE2" w:rsidRDefault="00926EE2" w:rsidP="00926EE2">
      <w:pPr>
        <w:spacing w:after="0" w:line="240" w:lineRule="auto"/>
        <w:ind w:right="271"/>
      </w:pPr>
    </w:p>
    <w:sectPr w:rsidR="00926EE2">
      <w:footerReference w:type="even" r:id="rId11"/>
      <w:footerReference w:type="default" r:id="rId12"/>
      <w:pgSz w:w="11906" w:h="16838" w:code="9"/>
      <w:pgMar w:top="1440" w:right="720" w:bottom="850" w:left="850" w:header="709" w:footer="709" w:gutter="0"/>
      <w:paperSrc w:first="259"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FCDAF" w14:textId="77777777" w:rsidR="004F27B8" w:rsidRDefault="004F27B8">
      <w:pPr>
        <w:spacing w:after="0" w:line="240" w:lineRule="auto"/>
      </w:pPr>
      <w:r>
        <w:separator/>
      </w:r>
    </w:p>
  </w:endnote>
  <w:endnote w:type="continuationSeparator" w:id="0">
    <w:p w14:paraId="34000016" w14:textId="77777777" w:rsidR="004F27B8" w:rsidRDefault="004F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209A" w14:textId="77777777" w:rsidR="004F27B8" w:rsidRDefault="004F2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686E4" w14:textId="77777777" w:rsidR="004F27B8" w:rsidRDefault="004F2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36C1" w14:textId="77777777" w:rsidR="004F27B8" w:rsidRDefault="004F2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F47">
      <w:rPr>
        <w:rStyle w:val="PageNumber"/>
        <w:noProof/>
      </w:rPr>
      <w:t>12</w:t>
    </w:r>
    <w:r>
      <w:rPr>
        <w:rStyle w:val="PageNumber"/>
      </w:rPr>
      <w:fldChar w:fldCharType="end"/>
    </w:r>
  </w:p>
  <w:p w14:paraId="170135F3" w14:textId="77777777" w:rsidR="004F27B8" w:rsidRDefault="004F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6502F" w14:textId="77777777" w:rsidR="004F27B8" w:rsidRDefault="004F27B8">
      <w:pPr>
        <w:spacing w:after="0" w:line="240" w:lineRule="auto"/>
      </w:pPr>
      <w:r>
        <w:separator/>
      </w:r>
    </w:p>
  </w:footnote>
  <w:footnote w:type="continuationSeparator" w:id="0">
    <w:p w14:paraId="7B8E33AF" w14:textId="77777777" w:rsidR="004F27B8" w:rsidRDefault="004F2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6A5"/>
    <w:multiLevelType w:val="multilevel"/>
    <w:tmpl w:val="734A4824"/>
    <w:lvl w:ilvl="0">
      <w:start w:val="8"/>
      <w:numFmt w:val="decimal"/>
      <w:lvlText w:val="%1"/>
      <w:lvlJc w:val="left"/>
      <w:pPr>
        <w:ind w:left="360" w:hanging="360"/>
      </w:pPr>
      <w:rPr>
        <w:rFonts w:hint="default"/>
        <w:b w:val="0"/>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45450D"/>
    <w:multiLevelType w:val="multilevel"/>
    <w:tmpl w:val="8DB28A66"/>
    <w:lvl w:ilvl="0">
      <w:start w:val="6"/>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E24822"/>
    <w:multiLevelType w:val="multilevel"/>
    <w:tmpl w:val="22B6F812"/>
    <w:lvl w:ilvl="0">
      <w:start w:val="14"/>
      <w:numFmt w:val="decimal"/>
      <w:lvlText w:val="%1"/>
      <w:lvlJc w:val="left"/>
      <w:pPr>
        <w:ind w:left="607" w:hanging="465"/>
      </w:pPr>
      <w:rPr>
        <w:rFonts w:hint="default"/>
        <w:sz w:val="24"/>
        <w:szCs w:val="24"/>
      </w:rPr>
    </w:lvl>
    <w:lvl w:ilvl="1">
      <w:start w:val="1"/>
      <w:numFmt w:val="decimal"/>
      <w:lvlText w:val="%1.%2"/>
      <w:lvlJc w:val="left"/>
      <w:pPr>
        <w:ind w:left="1676" w:hanging="465"/>
      </w:pPr>
      <w:rPr>
        <w:rFonts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3" w15:restartNumberingAfterBreak="0">
    <w:nsid w:val="08DF0C76"/>
    <w:multiLevelType w:val="multilevel"/>
    <w:tmpl w:val="E2100596"/>
    <w:lvl w:ilvl="0">
      <w:start w:val="9"/>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9101D71"/>
    <w:multiLevelType w:val="multilevel"/>
    <w:tmpl w:val="2DB2622A"/>
    <w:lvl w:ilvl="0">
      <w:start w:val="6"/>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09B12BA"/>
    <w:multiLevelType w:val="multilevel"/>
    <w:tmpl w:val="24AC5DC4"/>
    <w:lvl w:ilvl="0">
      <w:start w:val="19"/>
      <w:numFmt w:val="decimal"/>
      <w:lvlText w:val="%1"/>
      <w:lvlJc w:val="left"/>
      <w:pPr>
        <w:ind w:left="465" w:hanging="465"/>
      </w:pPr>
      <w:rPr>
        <w:rFonts w:hint="default"/>
      </w:rPr>
    </w:lvl>
    <w:lvl w:ilvl="1">
      <w:start w:val="3"/>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98B0733"/>
    <w:multiLevelType w:val="multilevel"/>
    <w:tmpl w:val="734A4824"/>
    <w:lvl w:ilvl="0">
      <w:start w:val="8"/>
      <w:numFmt w:val="decimal"/>
      <w:lvlText w:val="%1"/>
      <w:lvlJc w:val="left"/>
      <w:pPr>
        <w:ind w:left="360" w:hanging="360"/>
      </w:pPr>
      <w:rPr>
        <w:rFonts w:hint="default"/>
        <w:b w:val="0"/>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0810B01"/>
    <w:multiLevelType w:val="multilevel"/>
    <w:tmpl w:val="F6245994"/>
    <w:lvl w:ilvl="0">
      <w:start w:val="16"/>
      <w:numFmt w:val="decimal"/>
      <w:lvlText w:val="%1"/>
      <w:lvlJc w:val="left"/>
      <w:pPr>
        <w:ind w:left="607"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8" w15:restartNumberingAfterBreak="0">
    <w:nsid w:val="330923C1"/>
    <w:multiLevelType w:val="multilevel"/>
    <w:tmpl w:val="85C2FBD6"/>
    <w:lvl w:ilvl="0">
      <w:start w:val="13"/>
      <w:numFmt w:val="decimal"/>
      <w:lvlText w:val="%1"/>
      <w:lvlJc w:val="left"/>
      <w:pPr>
        <w:ind w:left="360" w:hanging="360"/>
      </w:pPr>
      <w:rPr>
        <w:rFonts w:hint="default"/>
        <w:b w:val="0"/>
        <w:bCs w:val="0"/>
      </w:rPr>
    </w:lvl>
    <w:lvl w:ilvl="1">
      <w:start w:val="3"/>
      <w:numFmt w:val="decimal"/>
      <w:lvlText w:val="%1.%2"/>
      <w:lvlJc w:val="left"/>
      <w:pPr>
        <w:ind w:left="1069" w:hanging="360"/>
      </w:pPr>
      <w:rPr>
        <w:rFonts w:ascii="Arial" w:hAnsi="Arial" w:cs="Arial" w:hint="default"/>
        <w:b w:val="0"/>
        <w:bCs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5D4538F"/>
    <w:multiLevelType w:val="hybridMultilevel"/>
    <w:tmpl w:val="B5064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42B07"/>
    <w:multiLevelType w:val="multilevel"/>
    <w:tmpl w:val="9B3CF4A6"/>
    <w:lvl w:ilvl="0">
      <w:start w:val="3"/>
      <w:numFmt w:val="decimal"/>
      <w:lvlText w:val="%1."/>
      <w:lvlJc w:val="left"/>
      <w:pPr>
        <w:ind w:left="780" w:hanging="360"/>
      </w:pPr>
      <w:rPr>
        <w:rFonts w:hint="default"/>
      </w:rPr>
    </w:lvl>
    <w:lvl w:ilvl="1">
      <w:start w:val="1"/>
      <w:numFmt w:val="decimal"/>
      <w:isLgl/>
      <w:lvlText w:val="%1.%2"/>
      <w:lvlJc w:val="left"/>
      <w:pPr>
        <w:ind w:left="1631" w:hanging="360"/>
      </w:pPr>
      <w:rPr>
        <w:rFonts w:hint="default"/>
      </w:rPr>
    </w:lvl>
    <w:lvl w:ilvl="2">
      <w:start w:val="1"/>
      <w:numFmt w:val="decimal"/>
      <w:isLgl/>
      <w:lvlText w:val="%1.%2.%3"/>
      <w:lvlJc w:val="left"/>
      <w:pPr>
        <w:ind w:left="2842" w:hanging="720"/>
      </w:pPr>
      <w:rPr>
        <w:rFonts w:hint="default"/>
      </w:rPr>
    </w:lvl>
    <w:lvl w:ilvl="3">
      <w:start w:val="1"/>
      <w:numFmt w:val="decimal"/>
      <w:isLgl/>
      <w:lvlText w:val="%1.%2.%3.%4"/>
      <w:lvlJc w:val="left"/>
      <w:pPr>
        <w:ind w:left="4053" w:hanging="1080"/>
      </w:pPr>
      <w:rPr>
        <w:rFonts w:hint="default"/>
      </w:rPr>
    </w:lvl>
    <w:lvl w:ilvl="4">
      <w:start w:val="1"/>
      <w:numFmt w:val="decimal"/>
      <w:isLgl/>
      <w:lvlText w:val="%1.%2.%3.%4.%5"/>
      <w:lvlJc w:val="left"/>
      <w:pPr>
        <w:ind w:left="4904" w:hanging="1080"/>
      </w:pPr>
      <w:rPr>
        <w:rFonts w:hint="default"/>
      </w:rPr>
    </w:lvl>
    <w:lvl w:ilvl="5">
      <w:start w:val="1"/>
      <w:numFmt w:val="decimal"/>
      <w:isLgl/>
      <w:lvlText w:val="%1.%2.%3.%4.%5.%6"/>
      <w:lvlJc w:val="left"/>
      <w:pPr>
        <w:ind w:left="6115" w:hanging="144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8177" w:hanging="1800"/>
      </w:pPr>
      <w:rPr>
        <w:rFonts w:hint="default"/>
      </w:rPr>
    </w:lvl>
    <w:lvl w:ilvl="8">
      <w:start w:val="1"/>
      <w:numFmt w:val="decimal"/>
      <w:isLgl/>
      <w:lvlText w:val="%1.%2.%3.%4.%5.%6.%7.%8.%9"/>
      <w:lvlJc w:val="left"/>
      <w:pPr>
        <w:ind w:left="9028" w:hanging="1800"/>
      </w:pPr>
      <w:rPr>
        <w:rFonts w:hint="default"/>
      </w:rPr>
    </w:lvl>
  </w:abstractNum>
  <w:abstractNum w:abstractNumId="11" w15:restartNumberingAfterBreak="0">
    <w:nsid w:val="4059453F"/>
    <w:multiLevelType w:val="multilevel"/>
    <w:tmpl w:val="D1625A0C"/>
    <w:lvl w:ilvl="0">
      <w:start w:val="10"/>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43625B32"/>
    <w:multiLevelType w:val="multilevel"/>
    <w:tmpl w:val="F21E01E6"/>
    <w:lvl w:ilvl="0">
      <w:start w:val="14"/>
      <w:numFmt w:val="decimal"/>
      <w:lvlText w:val="%1"/>
      <w:lvlJc w:val="left"/>
      <w:pPr>
        <w:ind w:left="607" w:hanging="465"/>
      </w:pPr>
      <w:rPr>
        <w:rFonts w:hint="default"/>
      </w:rPr>
    </w:lvl>
    <w:lvl w:ilvl="1">
      <w:start w:val="1"/>
      <w:numFmt w:val="decimal"/>
      <w:lvlText w:val="%1.%2"/>
      <w:lvlJc w:val="left"/>
      <w:pPr>
        <w:ind w:left="1676" w:hanging="465"/>
      </w:pPr>
      <w:rPr>
        <w:rFonts w:hint="default"/>
        <w:b w:val="0"/>
        <w:bCs w:val="0"/>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13" w15:restartNumberingAfterBreak="0">
    <w:nsid w:val="43B77431"/>
    <w:multiLevelType w:val="multilevel"/>
    <w:tmpl w:val="96CA3B10"/>
    <w:lvl w:ilvl="0">
      <w:start w:val="15"/>
      <w:numFmt w:val="decimal"/>
      <w:lvlText w:val="%1"/>
      <w:lvlJc w:val="left"/>
      <w:pPr>
        <w:ind w:left="465"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4892599A"/>
    <w:multiLevelType w:val="multilevel"/>
    <w:tmpl w:val="7B84EE94"/>
    <w:lvl w:ilvl="0">
      <w:start w:val="10"/>
      <w:numFmt w:val="decimal"/>
      <w:lvlText w:val="%1"/>
      <w:lvlJc w:val="left"/>
      <w:pPr>
        <w:ind w:left="465" w:hanging="465"/>
      </w:pPr>
      <w:rPr>
        <w:rFonts w:hint="default"/>
      </w:rPr>
    </w:lvl>
    <w:lvl w:ilvl="1">
      <w:start w:val="1"/>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4E4D2A2D"/>
    <w:multiLevelType w:val="multilevel"/>
    <w:tmpl w:val="4CA0ECE4"/>
    <w:lvl w:ilvl="0">
      <w:start w:val="23"/>
      <w:numFmt w:val="decimal"/>
      <w:lvlText w:val="%1"/>
      <w:lvlJc w:val="left"/>
      <w:pPr>
        <w:ind w:left="360" w:hanging="360"/>
      </w:pPr>
      <w:rPr>
        <w:rFonts w:hint="default"/>
        <w:b w:val="0"/>
      </w:rPr>
    </w:lvl>
    <w:lvl w:ilvl="1">
      <w:start w:val="2"/>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F426F5C"/>
    <w:multiLevelType w:val="multilevel"/>
    <w:tmpl w:val="ED6834B6"/>
    <w:lvl w:ilvl="0">
      <w:start w:val="1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3FB1537"/>
    <w:multiLevelType w:val="hybridMultilevel"/>
    <w:tmpl w:val="21ECE186"/>
    <w:lvl w:ilvl="0" w:tplc="D56416FE">
      <w:start w:val="62"/>
      <w:numFmt w:val="decimal"/>
      <w:lvlText w:val="%1."/>
      <w:lvlJc w:val="left"/>
      <w:pPr>
        <w:tabs>
          <w:tab w:val="num" w:pos="360"/>
        </w:tabs>
        <w:ind w:left="341" w:hanging="341"/>
      </w:pPr>
      <w:rPr>
        <w:rFonts w:ascii="Times New Roman" w:hAnsi="Times New Roman" w:hint="default"/>
        <w:b w:val="0"/>
        <w:i w:val="0"/>
        <w:sz w:val="24"/>
      </w:rPr>
    </w:lvl>
    <w:lvl w:ilvl="1" w:tplc="04090019" w:tentative="1">
      <w:start w:val="1"/>
      <w:numFmt w:val="lowerLetter"/>
      <w:lvlText w:val="%2."/>
      <w:lvlJc w:val="left"/>
      <w:pPr>
        <w:tabs>
          <w:tab w:val="num" w:pos="915"/>
        </w:tabs>
        <w:ind w:left="915" w:hanging="360"/>
      </w:pPr>
    </w:lvl>
    <w:lvl w:ilvl="2" w:tplc="0409001B" w:tentative="1">
      <w:start w:val="1"/>
      <w:numFmt w:val="lowerRoman"/>
      <w:lvlText w:val="%3."/>
      <w:lvlJc w:val="right"/>
      <w:pPr>
        <w:tabs>
          <w:tab w:val="num" w:pos="1635"/>
        </w:tabs>
        <w:ind w:left="1635" w:hanging="180"/>
      </w:pPr>
    </w:lvl>
    <w:lvl w:ilvl="3" w:tplc="0409000F" w:tentative="1">
      <w:start w:val="1"/>
      <w:numFmt w:val="decimal"/>
      <w:lvlText w:val="%4."/>
      <w:lvlJc w:val="left"/>
      <w:pPr>
        <w:tabs>
          <w:tab w:val="num" w:pos="2355"/>
        </w:tabs>
        <w:ind w:left="2355" w:hanging="360"/>
      </w:pPr>
    </w:lvl>
    <w:lvl w:ilvl="4" w:tplc="04090019" w:tentative="1">
      <w:start w:val="1"/>
      <w:numFmt w:val="lowerLetter"/>
      <w:lvlText w:val="%5."/>
      <w:lvlJc w:val="left"/>
      <w:pPr>
        <w:tabs>
          <w:tab w:val="num" w:pos="3075"/>
        </w:tabs>
        <w:ind w:left="3075" w:hanging="360"/>
      </w:pPr>
    </w:lvl>
    <w:lvl w:ilvl="5" w:tplc="0409001B" w:tentative="1">
      <w:start w:val="1"/>
      <w:numFmt w:val="lowerRoman"/>
      <w:lvlText w:val="%6."/>
      <w:lvlJc w:val="right"/>
      <w:pPr>
        <w:tabs>
          <w:tab w:val="num" w:pos="3795"/>
        </w:tabs>
        <w:ind w:left="3795" w:hanging="180"/>
      </w:pPr>
    </w:lvl>
    <w:lvl w:ilvl="6" w:tplc="0409000F" w:tentative="1">
      <w:start w:val="1"/>
      <w:numFmt w:val="decimal"/>
      <w:lvlText w:val="%7."/>
      <w:lvlJc w:val="left"/>
      <w:pPr>
        <w:tabs>
          <w:tab w:val="num" w:pos="4515"/>
        </w:tabs>
        <w:ind w:left="4515" w:hanging="360"/>
      </w:pPr>
    </w:lvl>
    <w:lvl w:ilvl="7" w:tplc="04090019" w:tentative="1">
      <w:start w:val="1"/>
      <w:numFmt w:val="lowerLetter"/>
      <w:lvlText w:val="%8."/>
      <w:lvlJc w:val="left"/>
      <w:pPr>
        <w:tabs>
          <w:tab w:val="num" w:pos="5235"/>
        </w:tabs>
        <w:ind w:left="5235" w:hanging="360"/>
      </w:pPr>
    </w:lvl>
    <w:lvl w:ilvl="8" w:tplc="0409001B" w:tentative="1">
      <w:start w:val="1"/>
      <w:numFmt w:val="lowerRoman"/>
      <w:lvlText w:val="%9."/>
      <w:lvlJc w:val="right"/>
      <w:pPr>
        <w:tabs>
          <w:tab w:val="num" w:pos="5955"/>
        </w:tabs>
        <w:ind w:left="5955" w:hanging="180"/>
      </w:pPr>
    </w:lvl>
  </w:abstractNum>
  <w:abstractNum w:abstractNumId="18" w15:restartNumberingAfterBreak="0">
    <w:nsid w:val="56C2194F"/>
    <w:multiLevelType w:val="multilevel"/>
    <w:tmpl w:val="BD6EAE54"/>
    <w:lvl w:ilvl="0">
      <w:start w:val="5"/>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90551F7"/>
    <w:multiLevelType w:val="multilevel"/>
    <w:tmpl w:val="8F80BD5E"/>
    <w:lvl w:ilvl="0">
      <w:start w:val="10"/>
      <w:numFmt w:val="decimal"/>
      <w:lvlText w:val="%1"/>
      <w:lvlJc w:val="left"/>
      <w:pPr>
        <w:ind w:left="465" w:hanging="465"/>
      </w:pPr>
      <w:rPr>
        <w:rFonts w:hint="default"/>
      </w:rPr>
    </w:lvl>
    <w:lvl w:ilvl="1">
      <w:start w:val="3"/>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5C9A4E72"/>
    <w:multiLevelType w:val="multilevel"/>
    <w:tmpl w:val="0AAE0AD0"/>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70B5DDF"/>
    <w:multiLevelType w:val="multilevel"/>
    <w:tmpl w:val="48B22178"/>
    <w:lvl w:ilvl="0">
      <w:start w:val="6"/>
      <w:numFmt w:val="decimal"/>
      <w:lvlText w:val="%1"/>
      <w:lvlJc w:val="left"/>
      <w:pPr>
        <w:ind w:left="360" w:hanging="360"/>
      </w:pPr>
      <w:rPr>
        <w:rFonts w:hint="default"/>
        <w:b w:val="0"/>
        <w:bCs/>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BB24BF0"/>
    <w:multiLevelType w:val="hybridMultilevel"/>
    <w:tmpl w:val="6CC42542"/>
    <w:lvl w:ilvl="0" w:tplc="9768F6A6">
      <w:start w:val="15"/>
      <w:numFmt w:val="decimal"/>
      <w:lvlText w:val="%1."/>
      <w:lvlJc w:val="left"/>
      <w:pPr>
        <w:ind w:left="578" w:hanging="360"/>
      </w:pPr>
      <w:rPr>
        <w:rFonts w:hint="default"/>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15:restartNumberingAfterBreak="0">
    <w:nsid w:val="6D0353D3"/>
    <w:multiLevelType w:val="multilevel"/>
    <w:tmpl w:val="5A084094"/>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F502FB5"/>
    <w:multiLevelType w:val="multilevel"/>
    <w:tmpl w:val="3C341C88"/>
    <w:lvl w:ilvl="0">
      <w:start w:val="1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04974A0"/>
    <w:multiLevelType w:val="multilevel"/>
    <w:tmpl w:val="DCE02CA0"/>
    <w:lvl w:ilvl="0">
      <w:start w:val="14"/>
      <w:numFmt w:val="decimal"/>
      <w:lvlText w:val="%1"/>
      <w:lvlJc w:val="left"/>
      <w:pPr>
        <w:ind w:left="465" w:hanging="465"/>
      </w:pPr>
      <w:rPr>
        <w:rFonts w:hint="default"/>
      </w:rPr>
    </w:lvl>
    <w:lvl w:ilvl="1">
      <w:start w:val="8"/>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6" w15:restartNumberingAfterBreak="0">
    <w:nsid w:val="72520DF7"/>
    <w:multiLevelType w:val="multilevel"/>
    <w:tmpl w:val="088C1CAC"/>
    <w:lvl w:ilvl="0">
      <w:start w:val="10"/>
      <w:numFmt w:val="decimal"/>
      <w:lvlText w:val="%1"/>
      <w:lvlJc w:val="left"/>
      <w:pPr>
        <w:ind w:left="607"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069" w:hanging="72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567" w:hanging="1080"/>
      </w:pPr>
      <w:rPr>
        <w:rFonts w:hint="default"/>
      </w:rPr>
    </w:lvl>
    <w:lvl w:ilvl="6">
      <w:start w:val="1"/>
      <w:numFmt w:val="decimal"/>
      <w:lvlText w:val="%1.%2.%3.%4.%5.%6.%7"/>
      <w:lvlJc w:val="left"/>
      <w:pPr>
        <w:ind w:left="7996" w:hanging="144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494" w:hanging="1800"/>
      </w:pPr>
      <w:rPr>
        <w:rFonts w:hint="default"/>
      </w:rPr>
    </w:lvl>
  </w:abstractNum>
  <w:abstractNum w:abstractNumId="27" w15:restartNumberingAfterBreak="0">
    <w:nsid w:val="76D64EEB"/>
    <w:multiLevelType w:val="multilevel"/>
    <w:tmpl w:val="5EAEA016"/>
    <w:lvl w:ilvl="0">
      <w:start w:val="12"/>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7BC63174"/>
    <w:multiLevelType w:val="multilevel"/>
    <w:tmpl w:val="182006FE"/>
    <w:lvl w:ilvl="0">
      <w:start w:val="9"/>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7C995FF5"/>
    <w:multiLevelType w:val="multilevel"/>
    <w:tmpl w:val="A1CC9614"/>
    <w:lvl w:ilvl="0">
      <w:start w:val="1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E2772EB"/>
    <w:multiLevelType w:val="multilevel"/>
    <w:tmpl w:val="C8C4C14C"/>
    <w:lvl w:ilvl="0">
      <w:start w:val="5"/>
      <w:numFmt w:val="decimal"/>
      <w:lvlText w:val="%1."/>
      <w:lvlJc w:val="left"/>
      <w:pPr>
        <w:ind w:left="720" w:hanging="360"/>
      </w:pPr>
      <w:rPr>
        <w:rFonts w:hint="default"/>
        <w:b w:val="0"/>
        <w:i w:val="0"/>
        <w:i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3"/>
  </w:num>
  <w:num w:numId="2">
    <w:abstractNumId w:val="11"/>
  </w:num>
  <w:num w:numId="3">
    <w:abstractNumId w:val="7"/>
  </w:num>
  <w:num w:numId="4">
    <w:abstractNumId w:val="4"/>
  </w:num>
  <w:num w:numId="5">
    <w:abstractNumId w:val="29"/>
  </w:num>
  <w:num w:numId="6">
    <w:abstractNumId w:val="2"/>
  </w:num>
  <w:num w:numId="7">
    <w:abstractNumId w:val="10"/>
  </w:num>
  <w:num w:numId="8">
    <w:abstractNumId w:val="28"/>
  </w:num>
  <w:num w:numId="9">
    <w:abstractNumId w:val="27"/>
  </w:num>
  <w:num w:numId="10">
    <w:abstractNumId w:val="30"/>
  </w:num>
  <w:num w:numId="11">
    <w:abstractNumId w:val="14"/>
  </w:num>
  <w:num w:numId="12">
    <w:abstractNumId w:val="19"/>
  </w:num>
  <w:num w:numId="13">
    <w:abstractNumId w:val="16"/>
  </w:num>
  <w:num w:numId="14">
    <w:abstractNumId w:val="22"/>
  </w:num>
  <w:num w:numId="15">
    <w:abstractNumId w:val="18"/>
  </w:num>
  <w:num w:numId="16">
    <w:abstractNumId w:val="3"/>
  </w:num>
  <w:num w:numId="17">
    <w:abstractNumId w:val="0"/>
  </w:num>
  <w:num w:numId="18">
    <w:abstractNumId w:val="26"/>
  </w:num>
  <w:num w:numId="19">
    <w:abstractNumId w:val="17"/>
  </w:num>
  <w:num w:numId="20">
    <w:abstractNumId w:val="20"/>
  </w:num>
  <w:num w:numId="21">
    <w:abstractNumId w:val="1"/>
  </w:num>
  <w:num w:numId="22">
    <w:abstractNumId w:val="24"/>
  </w:num>
  <w:num w:numId="23">
    <w:abstractNumId w:val="12"/>
  </w:num>
  <w:num w:numId="24">
    <w:abstractNumId w:val="21"/>
  </w:num>
  <w:num w:numId="25">
    <w:abstractNumId w:val="5"/>
  </w:num>
  <w:num w:numId="26">
    <w:abstractNumId w:val="8"/>
  </w:num>
  <w:num w:numId="27">
    <w:abstractNumId w:val="25"/>
  </w:num>
  <w:num w:numId="28">
    <w:abstractNumId w:val="13"/>
  </w:num>
  <w:num w:numId="29">
    <w:abstractNumId w:val="9"/>
  </w:num>
  <w:num w:numId="30">
    <w:abstractNumId w:val="6"/>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6F"/>
    <w:rsid w:val="00002D82"/>
    <w:rsid w:val="00004949"/>
    <w:rsid w:val="0001207C"/>
    <w:rsid w:val="00012722"/>
    <w:rsid w:val="00037A33"/>
    <w:rsid w:val="0007575C"/>
    <w:rsid w:val="000773A8"/>
    <w:rsid w:val="00096DEC"/>
    <w:rsid w:val="000A7064"/>
    <w:rsid w:val="000B0092"/>
    <w:rsid w:val="000B5DFC"/>
    <w:rsid w:val="000C2C45"/>
    <w:rsid w:val="000E31C3"/>
    <w:rsid w:val="00102B11"/>
    <w:rsid w:val="00104FC4"/>
    <w:rsid w:val="00111865"/>
    <w:rsid w:val="001218BA"/>
    <w:rsid w:val="00140427"/>
    <w:rsid w:val="00163981"/>
    <w:rsid w:val="00172F40"/>
    <w:rsid w:val="0017723A"/>
    <w:rsid w:val="00187CB4"/>
    <w:rsid w:val="00187ED1"/>
    <w:rsid w:val="0019183E"/>
    <w:rsid w:val="00191A8F"/>
    <w:rsid w:val="0019329D"/>
    <w:rsid w:val="00195A4B"/>
    <w:rsid w:val="001A2D66"/>
    <w:rsid w:val="001B1D0B"/>
    <w:rsid w:val="001E2361"/>
    <w:rsid w:val="001F1245"/>
    <w:rsid w:val="00220C55"/>
    <w:rsid w:val="002276AC"/>
    <w:rsid w:val="002346C4"/>
    <w:rsid w:val="00234D81"/>
    <w:rsid w:val="002440CA"/>
    <w:rsid w:val="002462D2"/>
    <w:rsid w:val="00255A4B"/>
    <w:rsid w:val="00256AFE"/>
    <w:rsid w:val="00276A9D"/>
    <w:rsid w:val="00282586"/>
    <w:rsid w:val="002A2A05"/>
    <w:rsid w:val="002C2A21"/>
    <w:rsid w:val="002D0E7E"/>
    <w:rsid w:val="002F1258"/>
    <w:rsid w:val="002F2043"/>
    <w:rsid w:val="002F682A"/>
    <w:rsid w:val="003227BA"/>
    <w:rsid w:val="003301F1"/>
    <w:rsid w:val="00332827"/>
    <w:rsid w:val="00334648"/>
    <w:rsid w:val="0034347A"/>
    <w:rsid w:val="00350375"/>
    <w:rsid w:val="0036329B"/>
    <w:rsid w:val="00366A84"/>
    <w:rsid w:val="00376DD6"/>
    <w:rsid w:val="00394A17"/>
    <w:rsid w:val="003B5465"/>
    <w:rsid w:val="003C1C71"/>
    <w:rsid w:val="003C64E1"/>
    <w:rsid w:val="00411152"/>
    <w:rsid w:val="00434A97"/>
    <w:rsid w:val="00435806"/>
    <w:rsid w:val="00452895"/>
    <w:rsid w:val="004636FC"/>
    <w:rsid w:val="00486354"/>
    <w:rsid w:val="00494F7F"/>
    <w:rsid w:val="004B6CC6"/>
    <w:rsid w:val="004D7574"/>
    <w:rsid w:val="004F27B8"/>
    <w:rsid w:val="00500C51"/>
    <w:rsid w:val="00504B9C"/>
    <w:rsid w:val="005104E0"/>
    <w:rsid w:val="00513132"/>
    <w:rsid w:val="00535636"/>
    <w:rsid w:val="005370D7"/>
    <w:rsid w:val="00541F36"/>
    <w:rsid w:val="005426E9"/>
    <w:rsid w:val="00567EDD"/>
    <w:rsid w:val="0058053B"/>
    <w:rsid w:val="00583FBD"/>
    <w:rsid w:val="005B13F2"/>
    <w:rsid w:val="005B51AE"/>
    <w:rsid w:val="005C12B0"/>
    <w:rsid w:val="005C7B3C"/>
    <w:rsid w:val="005D324C"/>
    <w:rsid w:val="005E3C22"/>
    <w:rsid w:val="005E706C"/>
    <w:rsid w:val="00630D66"/>
    <w:rsid w:val="0063450D"/>
    <w:rsid w:val="0064621C"/>
    <w:rsid w:val="00650D61"/>
    <w:rsid w:val="00670239"/>
    <w:rsid w:val="00682A37"/>
    <w:rsid w:val="00692734"/>
    <w:rsid w:val="006B3070"/>
    <w:rsid w:val="006D648E"/>
    <w:rsid w:val="006E5B98"/>
    <w:rsid w:val="00701389"/>
    <w:rsid w:val="007056A0"/>
    <w:rsid w:val="00742469"/>
    <w:rsid w:val="00750907"/>
    <w:rsid w:val="0076124A"/>
    <w:rsid w:val="00766AAD"/>
    <w:rsid w:val="00770AE0"/>
    <w:rsid w:val="00771A0D"/>
    <w:rsid w:val="00785A5C"/>
    <w:rsid w:val="0079706D"/>
    <w:rsid w:val="007C4883"/>
    <w:rsid w:val="007C4B57"/>
    <w:rsid w:val="007E2727"/>
    <w:rsid w:val="007F19A4"/>
    <w:rsid w:val="007F3B41"/>
    <w:rsid w:val="008067A8"/>
    <w:rsid w:val="00812406"/>
    <w:rsid w:val="00824396"/>
    <w:rsid w:val="00830F0F"/>
    <w:rsid w:val="008424DF"/>
    <w:rsid w:val="00845BC5"/>
    <w:rsid w:val="00862086"/>
    <w:rsid w:val="008726F0"/>
    <w:rsid w:val="00876B1E"/>
    <w:rsid w:val="00884141"/>
    <w:rsid w:val="008A4AB1"/>
    <w:rsid w:val="008B2FE5"/>
    <w:rsid w:val="008B3362"/>
    <w:rsid w:val="008D3377"/>
    <w:rsid w:val="008F1677"/>
    <w:rsid w:val="00912700"/>
    <w:rsid w:val="00926EE2"/>
    <w:rsid w:val="00932154"/>
    <w:rsid w:val="00944D04"/>
    <w:rsid w:val="00950139"/>
    <w:rsid w:val="00950A88"/>
    <w:rsid w:val="0096458F"/>
    <w:rsid w:val="009744C7"/>
    <w:rsid w:val="00997356"/>
    <w:rsid w:val="009B14B4"/>
    <w:rsid w:val="009C16C5"/>
    <w:rsid w:val="009C24F2"/>
    <w:rsid w:val="009C6B8D"/>
    <w:rsid w:val="009D7493"/>
    <w:rsid w:val="009F17F4"/>
    <w:rsid w:val="009F4182"/>
    <w:rsid w:val="009F752A"/>
    <w:rsid w:val="00A12795"/>
    <w:rsid w:val="00A15237"/>
    <w:rsid w:val="00A259E2"/>
    <w:rsid w:val="00A42F4E"/>
    <w:rsid w:val="00A5083E"/>
    <w:rsid w:val="00A61396"/>
    <w:rsid w:val="00A6556F"/>
    <w:rsid w:val="00A70643"/>
    <w:rsid w:val="00A956AB"/>
    <w:rsid w:val="00AA5BAA"/>
    <w:rsid w:val="00AA77DF"/>
    <w:rsid w:val="00AB5A0A"/>
    <w:rsid w:val="00AC0F6F"/>
    <w:rsid w:val="00AC6DA9"/>
    <w:rsid w:val="00AD4E6C"/>
    <w:rsid w:val="00AE05EF"/>
    <w:rsid w:val="00AF649F"/>
    <w:rsid w:val="00B012BC"/>
    <w:rsid w:val="00B21148"/>
    <w:rsid w:val="00B24537"/>
    <w:rsid w:val="00B36CB5"/>
    <w:rsid w:val="00B420B4"/>
    <w:rsid w:val="00B5121D"/>
    <w:rsid w:val="00B612EF"/>
    <w:rsid w:val="00B6229A"/>
    <w:rsid w:val="00B76C98"/>
    <w:rsid w:val="00B87F91"/>
    <w:rsid w:val="00B93A0C"/>
    <w:rsid w:val="00BA1FC9"/>
    <w:rsid w:val="00BC41A1"/>
    <w:rsid w:val="00BD0F94"/>
    <w:rsid w:val="00BE5F1D"/>
    <w:rsid w:val="00BF1253"/>
    <w:rsid w:val="00C02391"/>
    <w:rsid w:val="00C041D9"/>
    <w:rsid w:val="00C04479"/>
    <w:rsid w:val="00C16212"/>
    <w:rsid w:val="00C16F4A"/>
    <w:rsid w:val="00C43665"/>
    <w:rsid w:val="00C630B2"/>
    <w:rsid w:val="00C658DA"/>
    <w:rsid w:val="00C7352A"/>
    <w:rsid w:val="00C824FC"/>
    <w:rsid w:val="00C8401A"/>
    <w:rsid w:val="00CB52DA"/>
    <w:rsid w:val="00D2330E"/>
    <w:rsid w:val="00D313BA"/>
    <w:rsid w:val="00D31842"/>
    <w:rsid w:val="00D538E6"/>
    <w:rsid w:val="00D67426"/>
    <w:rsid w:val="00D71D35"/>
    <w:rsid w:val="00D74481"/>
    <w:rsid w:val="00D74675"/>
    <w:rsid w:val="00D87F68"/>
    <w:rsid w:val="00D91E3A"/>
    <w:rsid w:val="00DB7F47"/>
    <w:rsid w:val="00DC42FB"/>
    <w:rsid w:val="00DE49CC"/>
    <w:rsid w:val="00DF4AF3"/>
    <w:rsid w:val="00E2367E"/>
    <w:rsid w:val="00E25165"/>
    <w:rsid w:val="00E33F26"/>
    <w:rsid w:val="00E466D8"/>
    <w:rsid w:val="00E5594C"/>
    <w:rsid w:val="00E56BAA"/>
    <w:rsid w:val="00E802B5"/>
    <w:rsid w:val="00E80344"/>
    <w:rsid w:val="00E83819"/>
    <w:rsid w:val="00E8551B"/>
    <w:rsid w:val="00E9542D"/>
    <w:rsid w:val="00EA5C4A"/>
    <w:rsid w:val="00EB06AB"/>
    <w:rsid w:val="00ED60E2"/>
    <w:rsid w:val="00F44C5A"/>
    <w:rsid w:val="00F64840"/>
    <w:rsid w:val="00F67610"/>
    <w:rsid w:val="00F705C0"/>
    <w:rsid w:val="00FA3BAE"/>
    <w:rsid w:val="00FB7E3D"/>
    <w:rsid w:val="00FC2C03"/>
    <w:rsid w:val="00FC3903"/>
    <w:rsid w:val="00FE32B6"/>
    <w:rsid w:val="00FE3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8856"/>
  <w15:docId w15:val="{100BB937-1E26-4DF1-ABDA-6AB75BDC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55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56F"/>
  </w:style>
  <w:style w:type="character" w:styleId="PageNumber">
    <w:name w:val="page number"/>
    <w:basedOn w:val="DefaultParagraphFont"/>
    <w:rsid w:val="00A6556F"/>
  </w:style>
  <w:style w:type="paragraph" w:styleId="ListParagraph">
    <w:name w:val="List Paragraph"/>
    <w:basedOn w:val="Normal"/>
    <w:uiPriority w:val="34"/>
    <w:qFormat/>
    <w:rsid w:val="001F1245"/>
    <w:pPr>
      <w:ind w:left="720"/>
      <w:contextualSpacing/>
    </w:pPr>
  </w:style>
  <w:style w:type="paragraph" w:styleId="BalloonText">
    <w:name w:val="Balloon Text"/>
    <w:basedOn w:val="Normal"/>
    <w:link w:val="BalloonTextChar"/>
    <w:uiPriority w:val="99"/>
    <w:semiHidden/>
    <w:unhideWhenUsed/>
    <w:rsid w:val="0003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33"/>
    <w:rPr>
      <w:rFonts w:ascii="Tahoma" w:hAnsi="Tahoma" w:cs="Tahoma"/>
      <w:sz w:val="16"/>
      <w:szCs w:val="16"/>
    </w:rPr>
  </w:style>
  <w:style w:type="character" w:styleId="CommentReference">
    <w:name w:val="annotation reference"/>
    <w:basedOn w:val="DefaultParagraphFont"/>
    <w:uiPriority w:val="99"/>
    <w:semiHidden/>
    <w:unhideWhenUsed/>
    <w:rsid w:val="000B5DFC"/>
    <w:rPr>
      <w:sz w:val="16"/>
      <w:szCs w:val="16"/>
    </w:rPr>
  </w:style>
  <w:style w:type="paragraph" w:styleId="CommentText">
    <w:name w:val="annotation text"/>
    <w:basedOn w:val="Normal"/>
    <w:link w:val="CommentTextChar"/>
    <w:uiPriority w:val="99"/>
    <w:semiHidden/>
    <w:unhideWhenUsed/>
    <w:rsid w:val="000B5DFC"/>
    <w:pPr>
      <w:spacing w:line="240" w:lineRule="auto"/>
    </w:pPr>
    <w:rPr>
      <w:sz w:val="20"/>
      <w:szCs w:val="20"/>
    </w:rPr>
  </w:style>
  <w:style w:type="character" w:customStyle="1" w:styleId="CommentTextChar">
    <w:name w:val="Comment Text Char"/>
    <w:basedOn w:val="DefaultParagraphFont"/>
    <w:link w:val="CommentText"/>
    <w:uiPriority w:val="99"/>
    <w:semiHidden/>
    <w:rsid w:val="000B5DFC"/>
    <w:rPr>
      <w:sz w:val="20"/>
      <w:szCs w:val="20"/>
    </w:rPr>
  </w:style>
  <w:style w:type="paragraph" w:styleId="CommentSubject">
    <w:name w:val="annotation subject"/>
    <w:basedOn w:val="CommentText"/>
    <w:next w:val="CommentText"/>
    <w:link w:val="CommentSubjectChar"/>
    <w:uiPriority w:val="99"/>
    <w:semiHidden/>
    <w:unhideWhenUsed/>
    <w:rsid w:val="000B5DFC"/>
    <w:rPr>
      <w:b/>
      <w:bCs/>
    </w:rPr>
  </w:style>
  <w:style w:type="character" w:customStyle="1" w:styleId="CommentSubjectChar">
    <w:name w:val="Comment Subject Char"/>
    <w:basedOn w:val="CommentTextChar"/>
    <w:link w:val="CommentSubject"/>
    <w:uiPriority w:val="99"/>
    <w:semiHidden/>
    <w:rsid w:val="000B5DFC"/>
    <w:rPr>
      <w:b/>
      <w:bCs/>
      <w:sz w:val="20"/>
      <w:szCs w:val="20"/>
    </w:rPr>
  </w:style>
  <w:style w:type="paragraph" w:styleId="Revision">
    <w:name w:val="Revision"/>
    <w:hidden/>
    <w:uiPriority w:val="99"/>
    <w:semiHidden/>
    <w:rsid w:val="000B5DFC"/>
    <w:pPr>
      <w:spacing w:after="0" w:line="240" w:lineRule="auto"/>
    </w:pPr>
  </w:style>
  <w:style w:type="table" w:styleId="TableGrid">
    <w:name w:val="Table Grid"/>
    <w:basedOn w:val="TableNormal"/>
    <w:uiPriority w:val="39"/>
    <w:rsid w:val="0092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727"/>
    <w:rPr>
      <w:color w:val="0000FF"/>
      <w:u w:val="single"/>
    </w:rPr>
  </w:style>
  <w:style w:type="character" w:styleId="UnresolvedMention">
    <w:name w:val="Unresolved Mention"/>
    <w:basedOn w:val="DefaultParagraphFont"/>
    <w:uiPriority w:val="99"/>
    <w:semiHidden/>
    <w:unhideWhenUsed/>
    <w:rsid w:val="0099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dotheyknow.com/request/origins_of_and_list_of_stock_p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personal-independence-payment-assessment-guide-for-assessment-providers/pip-assessment-guide-part-1-the-assessment-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54E7-4546-4709-8B30-CC9863BD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6362</Words>
  <Characters>36267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4</cp:revision>
  <cp:lastPrinted>2020-01-08T10:50:00Z</cp:lastPrinted>
  <dcterms:created xsi:type="dcterms:W3CDTF">2020-06-10T17:11:00Z</dcterms:created>
  <dcterms:modified xsi:type="dcterms:W3CDTF">2020-06-11T16:20:00Z</dcterms:modified>
</cp:coreProperties>
</file>