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6231D" w14:textId="14EA1918" w:rsidR="006A1F57" w:rsidRDefault="006A1F57" w:rsidP="006A1F57">
      <w:pPr>
        <w:pStyle w:val="NormalWeb"/>
        <w:numPr>
          <w:ilvl w:val="0"/>
          <w:numId w:val="1"/>
        </w:numPr>
        <w:tabs>
          <w:tab w:val="left" w:pos="10100"/>
        </w:tabs>
        <w:ind w:left="709" w:right="50" w:hanging="425"/>
        <w:rPr>
          <w:rFonts w:ascii="Arial" w:hAnsi="Arial" w:cs="Arial"/>
          <w:sz w:val="22"/>
          <w:szCs w:val="22"/>
          <w:lang w:val="en"/>
        </w:rPr>
      </w:pPr>
      <w:r>
        <w:rPr>
          <w:rFonts w:ascii="Arial" w:hAnsi="Arial" w:cs="Arial"/>
          <w:spacing w:val="-5"/>
        </w:rPr>
        <w:t xml:space="preserve">I am reminded that the Tribunal of Commissioners hearing the case in </w:t>
      </w:r>
      <w:r w:rsidRPr="00DB4BE5">
        <w:rPr>
          <w:rFonts w:ascii="Arial" w:hAnsi="Arial" w:cs="Arial"/>
          <w:sz w:val="22"/>
          <w:szCs w:val="22"/>
          <w:lang w:val="en"/>
        </w:rPr>
        <w:t>R(DLA) 4/06</w:t>
      </w:r>
      <w:r w:rsidRPr="00564107">
        <w:rPr>
          <w:rFonts w:ascii="Arial" w:hAnsi="Arial" w:cs="Arial"/>
          <w:b/>
          <w:sz w:val="22"/>
          <w:szCs w:val="22"/>
          <w:lang w:val="en"/>
        </w:rPr>
        <w:t xml:space="preserve"> </w:t>
      </w:r>
      <w:r w:rsidRPr="00564107">
        <w:rPr>
          <w:rFonts w:ascii="Arial" w:hAnsi="Arial" w:cs="Arial"/>
          <w:sz w:val="22"/>
          <w:szCs w:val="22"/>
          <w:lang w:val="en"/>
        </w:rPr>
        <w:t xml:space="preserve">the Tribunal of Commissioners </w:t>
      </w:r>
      <w:r>
        <w:rPr>
          <w:rFonts w:ascii="Arial" w:hAnsi="Arial" w:cs="Arial"/>
          <w:sz w:val="22"/>
          <w:szCs w:val="22"/>
          <w:lang w:val="en"/>
        </w:rPr>
        <w:t xml:space="preserve">found </w:t>
      </w:r>
      <w:r w:rsidRPr="00564107">
        <w:rPr>
          <w:rFonts w:ascii="Arial" w:hAnsi="Arial" w:cs="Arial"/>
          <w:sz w:val="22"/>
          <w:szCs w:val="22"/>
          <w:lang w:val="en"/>
        </w:rPr>
        <w:t xml:space="preserve">at </w:t>
      </w:r>
      <w:r>
        <w:rPr>
          <w:rFonts w:ascii="Arial" w:hAnsi="Arial" w:cs="Arial"/>
          <w:sz w:val="22"/>
          <w:szCs w:val="22"/>
          <w:lang w:val="en"/>
        </w:rPr>
        <w:t>[</w:t>
      </w:r>
      <w:r w:rsidRPr="00564107">
        <w:rPr>
          <w:rFonts w:ascii="Arial" w:hAnsi="Arial" w:cs="Arial"/>
          <w:sz w:val="22"/>
          <w:szCs w:val="22"/>
          <w:lang w:val="en"/>
        </w:rPr>
        <w:t>102</w:t>
      </w:r>
      <w:r>
        <w:rPr>
          <w:rFonts w:ascii="Arial" w:hAnsi="Arial" w:cs="Arial"/>
          <w:sz w:val="22"/>
          <w:szCs w:val="22"/>
          <w:lang w:val="en"/>
        </w:rPr>
        <w:t>]</w:t>
      </w:r>
    </w:p>
    <w:p w14:paraId="7ECDDBA9" w14:textId="77777777" w:rsidR="006A1F57" w:rsidRDefault="006A1F57" w:rsidP="006A1F57">
      <w:pPr>
        <w:pStyle w:val="ListParagraph"/>
        <w:spacing w:after="0" w:line="240" w:lineRule="auto"/>
        <w:ind w:left="1843" w:right="709"/>
        <w:rPr>
          <w:rFonts w:ascii="Arial" w:hAnsi="Arial" w:cs="Arial"/>
          <w:lang w:val="en"/>
        </w:rPr>
      </w:pPr>
      <w:r w:rsidRPr="00564107">
        <w:rPr>
          <w:rFonts w:ascii="Arial" w:hAnsi="Arial" w:cs="Arial"/>
          <w:lang w:val="en"/>
        </w:rPr>
        <w:t>…. For example, commonly a claimant has some physical disorder (</w:t>
      </w:r>
      <w:proofErr w:type="spellStart"/>
      <w:r w:rsidRPr="00564107">
        <w:rPr>
          <w:rFonts w:ascii="Arial" w:hAnsi="Arial" w:cs="Arial"/>
          <w:lang w:val="en"/>
        </w:rPr>
        <w:t>eg</w:t>
      </w:r>
      <w:proofErr w:type="spellEnd"/>
      <w:r w:rsidRPr="00564107">
        <w:rPr>
          <w:rFonts w:ascii="Arial" w:hAnsi="Arial" w:cs="Arial"/>
          <w:lang w:val="en"/>
        </w:rPr>
        <w:t xml:space="preserve"> a disc problem), but owing to psychological problems (or “psychogenic overlay”) experiences physical symptoms to a substantially greater extent than would have been expected as a result of the physical disorder alone</w:t>
      </w:r>
    </w:p>
    <w:p w14:paraId="3A70D137" w14:textId="77777777" w:rsidR="006A1F57" w:rsidRDefault="006A1F57" w:rsidP="006A1F57">
      <w:pPr>
        <w:pStyle w:val="ListParagraph"/>
        <w:spacing w:after="0" w:line="240" w:lineRule="auto"/>
        <w:ind w:left="1843" w:right="709"/>
        <w:rPr>
          <w:rFonts w:ascii="Arial" w:eastAsia="Times New Roman" w:hAnsi="Arial" w:cs="Arial"/>
          <w:spacing w:val="-5"/>
          <w:sz w:val="24"/>
          <w:szCs w:val="24"/>
        </w:rPr>
      </w:pPr>
    </w:p>
    <w:p w14:paraId="1516F756" w14:textId="174948C2" w:rsidR="006A1F57" w:rsidRPr="00A7118D" w:rsidRDefault="006A1F57" w:rsidP="006A1F57">
      <w:pPr>
        <w:pStyle w:val="ListParagraph"/>
        <w:numPr>
          <w:ilvl w:val="0"/>
          <w:numId w:val="1"/>
        </w:numPr>
        <w:autoSpaceDE w:val="0"/>
        <w:autoSpaceDN w:val="0"/>
        <w:adjustRightInd w:val="0"/>
        <w:ind w:left="709"/>
        <w:rPr>
          <w:rFonts w:ascii="Arial" w:hAnsi="Arial" w:cs="Arial"/>
          <w:sz w:val="24"/>
          <w:szCs w:val="24"/>
          <w:lang w:val="en-US"/>
        </w:rPr>
      </w:pPr>
      <w:r w:rsidRPr="00A7118D">
        <w:rPr>
          <w:rFonts w:ascii="Arial" w:hAnsi="Arial" w:cs="Arial"/>
          <w:sz w:val="24"/>
          <w:szCs w:val="24"/>
        </w:rPr>
        <w:t xml:space="preserve">Mr. Commissioner (now Upper Tribunal Judge) Jacobs considered the issue of pain in   </w:t>
      </w:r>
      <w:r w:rsidRPr="007B0481">
        <w:rPr>
          <w:rFonts w:ascii="Arial" w:hAnsi="Arial" w:cs="Arial"/>
          <w:sz w:val="24"/>
          <w:szCs w:val="24"/>
        </w:rPr>
        <w:t>CDLA/0902/2004</w:t>
      </w:r>
      <w:r w:rsidRPr="00A7118D">
        <w:rPr>
          <w:rFonts w:ascii="Arial" w:hAnsi="Arial" w:cs="Arial"/>
          <w:sz w:val="24"/>
          <w:szCs w:val="24"/>
        </w:rPr>
        <w:t xml:space="preserve">.  The then Commissioner held at </w:t>
      </w:r>
      <w:r w:rsidRPr="00A7118D">
        <w:rPr>
          <w:rFonts w:ascii="Arial" w:hAnsi="Arial" w:cs="Arial"/>
          <w:sz w:val="24"/>
          <w:szCs w:val="24"/>
          <w:lang w:val="en-US"/>
        </w:rPr>
        <w:t>[14</w:t>
      </w:r>
      <w:r>
        <w:rPr>
          <w:rFonts w:ascii="Arial" w:hAnsi="Arial" w:cs="Arial"/>
          <w:sz w:val="24"/>
          <w:szCs w:val="24"/>
          <w:lang w:val="en-US"/>
        </w:rPr>
        <w:t>]</w:t>
      </w:r>
      <w:r w:rsidRPr="00A7118D">
        <w:rPr>
          <w:rFonts w:ascii="Arial" w:hAnsi="Arial" w:cs="Arial"/>
          <w:sz w:val="24"/>
          <w:szCs w:val="24"/>
          <w:lang w:val="en-US"/>
        </w:rPr>
        <w:t xml:space="preserve">- </w:t>
      </w:r>
      <w:proofErr w:type="gramStart"/>
      <w:r w:rsidRPr="00A7118D">
        <w:rPr>
          <w:rFonts w:ascii="Arial" w:hAnsi="Arial" w:cs="Arial"/>
          <w:sz w:val="24"/>
          <w:szCs w:val="24"/>
          <w:lang w:val="en-US"/>
        </w:rPr>
        <w:t>15 ]</w:t>
      </w:r>
      <w:proofErr w:type="gramEnd"/>
    </w:p>
    <w:p w14:paraId="2D1B553E" w14:textId="77777777" w:rsidR="006A1F57" w:rsidRPr="00A7118D" w:rsidRDefault="006A1F57" w:rsidP="006A1F57">
      <w:pPr>
        <w:autoSpaceDE w:val="0"/>
        <w:autoSpaceDN w:val="0"/>
        <w:adjustRightInd w:val="0"/>
        <w:ind w:left="1560" w:right="1418"/>
        <w:rPr>
          <w:rFonts w:ascii="Arial" w:hAnsi="Arial" w:cs="Arial"/>
          <w:sz w:val="24"/>
          <w:szCs w:val="24"/>
        </w:rPr>
      </w:pPr>
      <w:r w:rsidRPr="00A7118D">
        <w:rPr>
          <w:rFonts w:ascii="Arial" w:hAnsi="Arial" w:cs="Arial"/>
          <w:sz w:val="24"/>
          <w:szCs w:val="24"/>
        </w:rPr>
        <w:t xml:space="preserve">14 “Medical experts on pain no longer believe that there is a direct and proportionate relationship between (a) a disease or injury and (b) the nature and level of pain that a person </w:t>
      </w:r>
      <w:proofErr w:type="gramStart"/>
      <w:r w:rsidRPr="00A7118D">
        <w:rPr>
          <w:rFonts w:ascii="Arial" w:hAnsi="Arial" w:cs="Arial"/>
          <w:sz w:val="24"/>
          <w:szCs w:val="24"/>
        </w:rPr>
        <w:t>experiences</w:t>
      </w:r>
      <w:proofErr w:type="gramEnd"/>
      <w:r w:rsidRPr="00A7118D">
        <w:rPr>
          <w:rFonts w:ascii="Arial" w:hAnsi="Arial" w:cs="Arial"/>
          <w:sz w:val="24"/>
          <w:szCs w:val="24"/>
        </w:rPr>
        <w:t>. This is reflected in the definition of pain by the International Association for the Study of Pain:</w:t>
      </w:r>
    </w:p>
    <w:p w14:paraId="0CA1EB71" w14:textId="77777777" w:rsidR="006A1F57" w:rsidRPr="00A7118D" w:rsidRDefault="006A1F57" w:rsidP="006A1F57">
      <w:pPr>
        <w:autoSpaceDE w:val="0"/>
        <w:autoSpaceDN w:val="0"/>
        <w:adjustRightInd w:val="0"/>
        <w:ind w:left="1985" w:right="1702"/>
        <w:rPr>
          <w:rFonts w:ascii="Arial" w:hAnsi="Arial" w:cs="Arial"/>
          <w:sz w:val="24"/>
          <w:szCs w:val="24"/>
        </w:rPr>
      </w:pPr>
      <w:r w:rsidRPr="00A7118D">
        <w:rPr>
          <w:rFonts w:ascii="Arial" w:hAnsi="Arial" w:cs="Arial"/>
          <w:sz w:val="24"/>
          <w:szCs w:val="24"/>
        </w:rPr>
        <w:t xml:space="preserve">‘An unpleasant sensory and emotional experience associated with actual or potential tissue </w:t>
      </w:r>
      <w:proofErr w:type="gramStart"/>
      <w:r w:rsidRPr="00A7118D">
        <w:rPr>
          <w:rFonts w:ascii="Arial" w:hAnsi="Arial" w:cs="Arial"/>
          <w:sz w:val="24"/>
          <w:szCs w:val="24"/>
        </w:rPr>
        <w:t>damage, or</w:t>
      </w:r>
      <w:proofErr w:type="gramEnd"/>
      <w:r w:rsidRPr="00A7118D">
        <w:rPr>
          <w:rFonts w:ascii="Arial" w:hAnsi="Arial" w:cs="Arial"/>
          <w:sz w:val="24"/>
          <w:szCs w:val="24"/>
        </w:rPr>
        <w:t xml:space="preserve"> described in terms of such damage.’</w:t>
      </w:r>
    </w:p>
    <w:p w14:paraId="3AD1FF34" w14:textId="77777777" w:rsidR="006A1F57" w:rsidRPr="00A7118D" w:rsidRDefault="006A1F57" w:rsidP="006A1F57">
      <w:pPr>
        <w:autoSpaceDE w:val="0"/>
        <w:autoSpaceDN w:val="0"/>
        <w:adjustRightInd w:val="0"/>
        <w:ind w:left="1560" w:right="1418"/>
        <w:rPr>
          <w:rFonts w:ascii="Arial" w:hAnsi="Arial" w:cs="Arial"/>
          <w:sz w:val="24"/>
          <w:szCs w:val="24"/>
        </w:rPr>
      </w:pPr>
      <w:r w:rsidRPr="00A7118D">
        <w:rPr>
          <w:rFonts w:ascii="Arial" w:hAnsi="Arial" w:cs="Arial"/>
          <w:sz w:val="24"/>
          <w:szCs w:val="24"/>
        </w:rPr>
        <w:t xml:space="preserve">15 Now that those medical professionals who are expert in pain do not recognise a direct link between clinical findings and pain, it is no longer rational for tribunals to reason simply from the clinical findings on examination to the level of pain that a claimant </w:t>
      </w:r>
      <w:proofErr w:type="gramStart"/>
      <w:r w:rsidRPr="00A7118D">
        <w:rPr>
          <w:rFonts w:ascii="Arial" w:hAnsi="Arial" w:cs="Arial"/>
          <w:sz w:val="24"/>
          <w:szCs w:val="24"/>
        </w:rPr>
        <w:t>experiences</w:t>
      </w:r>
      <w:proofErr w:type="gramEnd"/>
      <w:r w:rsidRPr="00A7118D">
        <w:rPr>
          <w:rFonts w:ascii="Arial" w:hAnsi="Arial" w:cs="Arial"/>
          <w:sz w:val="24"/>
          <w:szCs w:val="24"/>
        </w:rPr>
        <w:t>. Tribunals must investigate the evidence of the claimant’s pain and explain how they have dealt with it. As there is no direct causal link between disease or injury and pain, the only direct evidence of pain can come from the claimant”</w:t>
      </w:r>
    </w:p>
    <w:p w14:paraId="25384DBA" w14:textId="77777777" w:rsidR="006A1F57" w:rsidRPr="00A7118D" w:rsidRDefault="006A1F57" w:rsidP="006A1F57">
      <w:pPr>
        <w:autoSpaceDE w:val="0"/>
        <w:autoSpaceDN w:val="0"/>
        <w:adjustRightInd w:val="0"/>
        <w:ind w:firstLine="993"/>
        <w:rPr>
          <w:rFonts w:ascii="Arial" w:hAnsi="Arial" w:cs="Arial"/>
          <w:sz w:val="24"/>
          <w:szCs w:val="24"/>
        </w:rPr>
      </w:pPr>
      <w:r w:rsidRPr="00A7118D">
        <w:rPr>
          <w:rFonts w:ascii="Arial" w:hAnsi="Arial" w:cs="Arial"/>
          <w:sz w:val="24"/>
          <w:szCs w:val="24"/>
        </w:rPr>
        <w:t xml:space="preserve">  The Commissioner also noted at </w:t>
      </w:r>
      <w:r>
        <w:rPr>
          <w:rFonts w:ascii="Arial" w:hAnsi="Arial" w:cs="Arial"/>
          <w:sz w:val="24"/>
          <w:szCs w:val="24"/>
        </w:rPr>
        <w:t>[</w:t>
      </w:r>
      <w:r w:rsidRPr="00A7118D">
        <w:rPr>
          <w:rFonts w:ascii="Arial" w:hAnsi="Arial" w:cs="Arial"/>
          <w:sz w:val="24"/>
          <w:szCs w:val="24"/>
        </w:rPr>
        <w:t>12</w:t>
      </w:r>
      <w:r>
        <w:rPr>
          <w:rFonts w:ascii="Arial" w:hAnsi="Arial" w:cs="Arial"/>
          <w:sz w:val="24"/>
          <w:szCs w:val="24"/>
        </w:rPr>
        <w:t>]</w:t>
      </w:r>
    </w:p>
    <w:p w14:paraId="7C0A9842" w14:textId="77777777" w:rsidR="006A1F57" w:rsidRPr="00A7118D" w:rsidRDefault="006A1F57" w:rsidP="006A1F57">
      <w:pPr>
        <w:autoSpaceDE w:val="0"/>
        <w:autoSpaceDN w:val="0"/>
        <w:adjustRightInd w:val="0"/>
        <w:ind w:left="1701" w:hanging="141"/>
        <w:rPr>
          <w:rFonts w:ascii="Arial" w:hAnsi="Arial" w:cs="Arial"/>
          <w:sz w:val="24"/>
          <w:szCs w:val="24"/>
        </w:rPr>
      </w:pPr>
      <w:r w:rsidRPr="00A7118D">
        <w:rPr>
          <w:rFonts w:ascii="Arial" w:hAnsi="Arial" w:cs="Arial"/>
          <w:sz w:val="24"/>
          <w:szCs w:val="24"/>
        </w:rPr>
        <w:t xml:space="preserve">It always arises as a factual issue: </w:t>
      </w:r>
    </w:p>
    <w:p w14:paraId="3D8004F4" w14:textId="77777777" w:rsidR="006A1F57" w:rsidRPr="00A7118D" w:rsidRDefault="006A1F57" w:rsidP="006A1F57">
      <w:pPr>
        <w:numPr>
          <w:ilvl w:val="0"/>
          <w:numId w:val="2"/>
        </w:numPr>
        <w:autoSpaceDE w:val="0"/>
        <w:autoSpaceDN w:val="0"/>
        <w:adjustRightInd w:val="0"/>
        <w:spacing w:after="0" w:line="240" w:lineRule="auto"/>
        <w:ind w:left="1701" w:firstLine="426"/>
        <w:rPr>
          <w:rFonts w:ascii="Arial" w:hAnsi="Arial" w:cs="Arial"/>
          <w:sz w:val="24"/>
          <w:szCs w:val="24"/>
        </w:rPr>
      </w:pPr>
      <w:r w:rsidRPr="00A7118D">
        <w:rPr>
          <w:rFonts w:ascii="Arial" w:hAnsi="Arial" w:cs="Arial"/>
          <w:sz w:val="24"/>
          <w:szCs w:val="24"/>
        </w:rPr>
        <w:t xml:space="preserve">what pain does the claimant experience? </w:t>
      </w:r>
    </w:p>
    <w:p w14:paraId="734ACA8C" w14:textId="11B7A61E" w:rsidR="006A1F57" w:rsidRPr="006A1F57" w:rsidRDefault="006A1F57" w:rsidP="006A1F57">
      <w:pPr>
        <w:pStyle w:val="ListParagraph"/>
        <w:numPr>
          <w:ilvl w:val="0"/>
          <w:numId w:val="2"/>
        </w:numPr>
        <w:spacing w:after="0" w:line="240" w:lineRule="auto"/>
        <w:ind w:firstLine="1767"/>
        <w:rPr>
          <w:rFonts w:ascii="Arial" w:eastAsia="Times New Roman" w:hAnsi="Arial" w:cs="Arial"/>
          <w:spacing w:val="-5"/>
          <w:sz w:val="24"/>
          <w:szCs w:val="24"/>
        </w:rPr>
      </w:pPr>
      <w:r w:rsidRPr="00A7118D">
        <w:rPr>
          <w:rFonts w:ascii="Arial" w:hAnsi="Arial" w:cs="Arial"/>
          <w:sz w:val="24"/>
          <w:szCs w:val="24"/>
        </w:rPr>
        <w:t xml:space="preserve">how does it affect the claimant’s </w:t>
      </w:r>
      <w:proofErr w:type="gramStart"/>
      <w:r w:rsidRPr="00A7118D">
        <w:rPr>
          <w:rFonts w:ascii="Arial" w:hAnsi="Arial" w:cs="Arial"/>
          <w:sz w:val="24"/>
          <w:szCs w:val="24"/>
        </w:rPr>
        <w:t>activities</w:t>
      </w:r>
      <w:proofErr w:type="gramEnd"/>
    </w:p>
    <w:p w14:paraId="4D6C7B81" w14:textId="55CADCF4" w:rsidR="006A1F57" w:rsidRDefault="006A1F57" w:rsidP="006A1F57">
      <w:pPr>
        <w:pStyle w:val="ListParagraph"/>
        <w:spacing w:after="0" w:line="240" w:lineRule="auto"/>
        <w:ind w:left="2127"/>
        <w:rPr>
          <w:rFonts w:ascii="Arial" w:hAnsi="Arial" w:cs="Arial"/>
          <w:sz w:val="24"/>
          <w:szCs w:val="24"/>
        </w:rPr>
      </w:pPr>
    </w:p>
    <w:p w14:paraId="628B555B" w14:textId="77777777" w:rsidR="006A1F57" w:rsidRPr="00A7118D" w:rsidRDefault="006A1F57" w:rsidP="006A1F57">
      <w:pPr>
        <w:pStyle w:val="ListParagraph"/>
        <w:spacing w:after="0" w:line="240" w:lineRule="auto"/>
        <w:ind w:left="851"/>
        <w:rPr>
          <w:rFonts w:ascii="Arial" w:eastAsia="Times New Roman" w:hAnsi="Arial" w:cs="Arial"/>
          <w:spacing w:val="-5"/>
          <w:sz w:val="24"/>
          <w:szCs w:val="24"/>
        </w:rPr>
      </w:pPr>
    </w:p>
    <w:p w14:paraId="0B264A07" w14:textId="6DA01944" w:rsidR="002104B2" w:rsidRPr="004D2B76" w:rsidRDefault="004D2B76" w:rsidP="004D2B76">
      <w:pPr>
        <w:pStyle w:val="ListParagraph"/>
        <w:numPr>
          <w:ilvl w:val="0"/>
          <w:numId w:val="1"/>
        </w:numPr>
      </w:pPr>
      <w:r>
        <w:rPr>
          <w:rFonts w:ascii="Arial" w:hAnsi="Arial" w:cs="Arial"/>
          <w:sz w:val="24"/>
          <w:szCs w:val="24"/>
        </w:rPr>
        <w:t>The HCP reported that the medication prescribed was “low level” but this should not necessarily indicate that the pain experienced was also “low level”.  Judge Jacobs also noted in CDLA/0902/2004 at [24]</w:t>
      </w:r>
    </w:p>
    <w:p w14:paraId="31F639D8" w14:textId="4E15DBED" w:rsidR="004D2B76" w:rsidRDefault="004D2B76" w:rsidP="004D2B76">
      <w:pPr>
        <w:pStyle w:val="ListParagraph"/>
        <w:ind w:left="465"/>
        <w:rPr>
          <w:rFonts w:ascii="Arial" w:hAnsi="Arial" w:cs="Arial"/>
          <w:sz w:val="24"/>
          <w:szCs w:val="24"/>
        </w:rPr>
      </w:pPr>
    </w:p>
    <w:p w14:paraId="61D0EFA2" w14:textId="598F1736" w:rsidR="004D2B76" w:rsidRDefault="004D2B76" w:rsidP="004D2B76">
      <w:pPr>
        <w:pStyle w:val="Titleitalic"/>
        <w:jc w:val="center"/>
      </w:pPr>
      <w:r>
        <w:t>The claimant’s medication</w:t>
      </w:r>
    </w:p>
    <w:p w14:paraId="37A2DF60" w14:textId="2785F830" w:rsidR="004D2B76" w:rsidRPr="004D2B76" w:rsidRDefault="004D2B76" w:rsidP="004D2B76">
      <w:pPr>
        <w:pStyle w:val="ListParagraph"/>
        <w:ind w:left="1560"/>
        <w:rPr>
          <w:rFonts w:ascii="Arial" w:hAnsi="Arial" w:cs="Arial"/>
          <w:sz w:val="24"/>
          <w:szCs w:val="24"/>
        </w:rPr>
      </w:pPr>
      <w:bookmarkStart w:id="0" w:name="_GoBack"/>
      <w:r w:rsidRPr="004D2B76">
        <w:rPr>
          <w:rFonts w:ascii="Arial" w:hAnsi="Arial" w:cs="Arial"/>
          <w:sz w:val="24"/>
          <w:szCs w:val="24"/>
        </w:rPr>
        <w:t xml:space="preserve">The nature and dosage of medication may be an indicator of a claimant’s pain. If the medication is not consistent with the level of </w:t>
      </w:r>
      <w:r w:rsidRPr="004D2B76">
        <w:rPr>
          <w:rFonts w:ascii="Arial" w:hAnsi="Arial" w:cs="Arial"/>
          <w:sz w:val="24"/>
          <w:szCs w:val="24"/>
        </w:rPr>
        <w:lastRenderedPageBreak/>
        <w:t>pain described by the claimant, the tribunal must investigate as far as it can. There may be a credible explanation for an apparent discrepancy. It is not unknown for claimants to dislike taking medication for a prolonged period. And some pains respond better to medication than others. On the other hand, it is also not unknown for GPs to over-prescribe</w:t>
      </w:r>
    </w:p>
    <w:bookmarkEnd w:id="0"/>
    <w:p w14:paraId="4A895611" w14:textId="77777777" w:rsidR="006A1F57" w:rsidRDefault="006A1F57"/>
    <w:sectPr w:rsidR="006A1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1BE"/>
    <w:multiLevelType w:val="multilevel"/>
    <w:tmpl w:val="E2C654E6"/>
    <w:lvl w:ilvl="0">
      <w:start w:val="1"/>
      <w:numFmt w:val="decimal"/>
      <w:lvlText w:val="%1"/>
      <w:lvlJc w:val="left"/>
      <w:pPr>
        <w:ind w:left="465" w:hanging="465"/>
      </w:pPr>
      <w:rPr>
        <w:rFonts w:hint="default"/>
        <w:b w:val="0"/>
        <w:sz w:val="24"/>
        <w:szCs w:val="24"/>
      </w:rPr>
    </w:lvl>
    <w:lvl w:ilvl="1">
      <w:start w:val="1"/>
      <w:numFmt w:val="decimal"/>
      <w:lvlText w:val="%1.%2"/>
      <w:lvlJc w:val="left"/>
      <w:pPr>
        <w:ind w:left="1534" w:hanging="465"/>
      </w:pPr>
      <w:rPr>
        <w:rFonts w:hint="default"/>
        <w:b w:val="0"/>
        <w:i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3A87075C"/>
    <w:multiLevelType w:val="hybridMultilevel"/>
    <w:tmpl w:val="615A49A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57"/>
    <w:rsid w:val="002104B2"/>
    <w:rsid w:val="004D2B76"/>
    <w:rsid w:val="006A1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E4D2"/>
  <w15:chartTrackingRefBased/>
  <w15:docId w15:val="{4D5B61C6-0BC5-4E63-AD7D-49232132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57"/>
    <w:pPr>
      <w:ind w:left="720"/>
      <w:contextualSpacing/>
    </w:pPr>
  </w:style>
  <w:style w:type="paragraph" w:styleId="NormalWeb">
    <w:name w:val="Normal (Web)"/>
    <w:basedOn w:val="Normal"/>
    <w:rsid w:val="006A1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bold">
    <w:name w:val="Title bold"/>
    <w:basedOn w:val="Normal"/>
    <w:rsid w:val="004D2B76"/>
    <w:pPr>
      <w:keepNext/>
      <w:tabs>
        <w:tab w:val="left" w:pos="567"/>
        <w:tab w:val="left" w:pos="1134"/>
        <w:tab w:val="left" w:pos="1701"/>
        <w:tab w:val="left" w:pos="2268"/>
        <w:tab w:val="left" w:pos="2835"/>
      </w:tabs>
      <w:spacing w:after="280" w:line="240" w:lineRule="auto"/>
      <w:jc w:val="both"/>
    </w:pPr>
    <w:rPr>
      <w:rFonts w:ascii="Times New Roman" w:eastAsia="Times New Roman" w:hAnsi="Times New Roman" w:cs="Times New Roman"/>
      <w:b/>
      <w:sz w:val="24"/>
      <w:szCs w:val="24"/>
    </w:rPr>
  </w:style>
  <w:style w:type="paragraph" w:customStyle="1" w:styleId="Titleitalic">
    <w:name w:val="Title italic"/>
    <w:basedOn w:val="Normal"/>
    <w:rsid w:val="004D2B76"/>
    <w:pPr>
      <w:keepNext/>
      <w:tabs>
        <w:tab w:val="left" w:pos="567"/>
        <w:tab w:val="left" w:pos="1134"/>
        <w:tab w:val="left" w:pos="1701"/>
        <w:tab w:val="left" w:pos="2268"/>
        <w:tab w:val="left" w:pos="2835"/>
      </w:tabs>
      <w:spacing w:after="280" w:line="240" w:lineRule="auto"/>
      <w:jc w:val="both"/>
    </w:pPr>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Stainsby</dc:creator>
  <cp:keywords/>
  <dc:description/>
  <cp:lastModifiedBy>Derek Stainsby</cp:lastModifiedBy>
  <cp:revision>1</cp:revision>
  <dcterms:created xsi:type="dcterms:W3CDTF">2019-10-04T15:10:00Z</dcterms:created>
  <dcterms:modified xsi:type="dcterms:W3CDTF">2019-10-04T16:21:00Z</dcterms:modified>
</cp:coreProperties>
</file>