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49BB" w14:textId="77777777" w:rsidR="005E5FC8" w:rsidRPr="005E5FC8" w:rsidRDefault="005E5FC8" w:rsidP="005E5FC8">
      <w:pPr>
        <w:spacing w:after="0" w:line="240" w:lineRule="auto"/>
        <w:ind w:left="1069" w:right="555"/>
        <w:contextualSpacing/>
        <w:jc w:val="center"/>
        <w:rPr>
          <w:rFonts w:ascii="Arial" w:eastAsia="Times New Roman" w:hAnsi="Arial" w:cs="Arial"/>
          <w:b/>
          <w:sz w:val="24"/>
          <w:szCs w:val="24"/>
          <w:u w:val="single"/>
        </w:rPr>
      </w:pPr>
      <w:r w:rsidRPr="005E5FC8">
        <w:rPr>
          <w:rFonts w:ascii="Arial" w:eastAsia="Times New Roman" w:hAnsi="Arial" w:cs="Arial"/>
          <w:b/>
          <w:sz w:val="24"/>
          <w:szCs w:val="24"/>
          <w:u w:val="single"/>
        </w:rPr>
        <w:t>Breach of Rule 2 (1) and (2)(c) By the Respondent</w:t>
      </w:r>
    </w:p>
    <w:p w14:paraId="5A3B51D1" w14:textId="77777777" w:rsidR="005E5FC8" w:rsidRPr="005E5FC8" w:rsidRDefault="005E5FC8" w:rsidP="005E5FC8">
      <w:pPr>
        <w:spacing w:after="0" w:line="240" w:lineRule="auto"/>
        <w:ind w:left="720" w:right="555"/>
        <w:rPr>
          <w:rFonts w:ascii="Arial" w:eastAsia="Times New Roman" w:hAnsi="Arial" w:cs="Arial"/>
          <w:sz w:val="24"/>
          <w:szCs w:val="24"/>
        </w:rPr>
      </w:pPr>
    </w:p>
    <w:p w14:paraId="30BE9252" w14:textId="77777777" w:rsidR="005E5FC8" w:rsidRPr="005E5FC8" w:rsidRDefault="005E5FC8" w:rsidP="00392D65">
      <w:pPr>
        <w:numPr>
          <w:ilvl w:val="0"/>
          <w:numId w:val="1"/>
        </w:numPr>
        <w:spacing w:after="0" w:line="240" w:lineRule="auto"/>
        <w:ind w:right="-46"/>
        <w:rPr>
          <w:rFonts w:ascii="Arial" w:hAnsi="Arial" w:cs="Arial"/>
          <w:sz w:val="24"/>
        </w:rPr>
      </w:pPr>
      <w:r w:rsidRPr="005E5FC8">
        <w:rPr>
          <w:rFonts w:ascii="Arial" w:hAnsi="Arial" w:cs="Arial"/>
          <w:sz w:val="24"/>
        </w:rPr>
        <w:t>The Respondent’s submissions in the present case are somewhat incoherent in that the Respondent (</w:t>
      </w:r>
      <w:r w:rsidRPr="005E5FC8">
        <w:rPr>
          <w:rFonts w:ascii="Arial" w:hAnsi="Arial" w:cs="Arial"/>
          <w:b/>
          <w:sz w:val="24"/>
        </w:rPr>
        <w:t>S4(5) page H of the Response</w:t>
      </w:r>
      <w:r w:rsidRPr="005E5FC8">
        <w:rPr>
          <w:rFonts w:ascii="Arial" w:hAnsi="Arial" w:cs="Arial"/>
          <w:sz w:val="24"/>
        </w:rPr>
        <w:t>) avers</w:t>
      </w:r>
    </w:p>
    <w:p w14:paraId="1A003400" w14:textId="77777777" w:rsidR="005E5FC8" w:rsidRPr="005E5FC8" w:rsidRDefault="005E5FC8" w:rsidP="00392D65">
      <w:pPr>
        <w:spacing w:after="0" w:line="240" w:lineRule="auto"/>
        <w:ind w:left="720" w:right="-46"/>
        <w:rPr>
          <w:rFonts w:ascii="Arial" w:hAnsi="Arial" w:cs="Arial"/>
          <w:sz w:val="24"/>
        </w:rPr>
      </w:pPr>
    </w:p>
    <w:p w14:paraId="14D7A02C" w14:textId="41549033" w:rsidR="005E5FC8" w:rsidRPr="005E5FC8" w:rsidRDefault="005E5FC8" w:rsidP="00392D65">
      <w:pPr>
        <w:spacing w:after="0" w:line="240" w:lineRule="auto"/>
        <w:ind w:left="1843" w:right="-46"/>
        <w:rPr>
          <w:rFonts w:ascii="Arial" w:hAnsi="Arial" w:cs="Arial"/>
          <w:sz w:val="24"/>
        </w:rPr>
      </w:pPr>
      <w:r w:rsidRPr="005E5FC8">
        <w:rPr>
          <w:rFonts w:ascii="Arial" w:hAnsi="Arial" w:cs="Arial"/>
          <w:sz w:val="24"/>
        </w:rPr>
        <w:t xml:space="preserve">All parties to the tribunal will be aware as this is a new claim made by Miss </w:t>
      </w:r>
      <w:r>
        <w:rPr>
          <w:rFonts w:ascii="Arial" w:hAnsi="Arial" w:cs="Arial"/>
          <w:sz w:val="24"/>
        </w:rPr>
        <w:t>X</w:t>
      </w:r>
      <w:r w:rsidRPr="005E5FC8">
        <w:rPr>
          <w:rFonts w:ascii="Arial" w:hAnsi="Arial" w:cs="Arial"/>
          <w:sz w:val="24"/>
        </w:rPr>
        <w:t>, the burden of proof lies with the appellant</w:t>
      </w:r>
    </w:p>
    <w:p w14:paraId="2F2865FE" w14:textId="77777777" w:rsidR="005E5FC8" w:rsidRPr="005E5FC8" w:rsidRDefault="005E5FC8" w:rsidP="00392D65">
      <w:pPr>
        <w:spacing w:after="0" w:line="240" w:lineRule="auto"/>
        <w:ind w:left="1843" w:right="-46"/>
        <w:rPr>
          <w:rFonts w:ascii="Arial" w:hAnsi="Arial" w:cs="Arial"/>
          <w:sz w:val="24"/>
        </w:rPr>
      </w:pPr>
    </w:p>
    <w:p w14:paraId="3BDD88FB" w14:textId="77777777" w:rsidR="005E5FC8" w:rsidRPr="005E5FC8" w:rsidRDefault="005E5FC8" w:rsidP="00392D65">
      <w:pPr>
        <w:spacing w:after="0" w:line="240" w:lineRule="auto"/>
        <w:ind w:left="1843" w:right="-46"/>
        <w:rPr>
          <w:rFonts w:ascii="Arial" w:hAnsi="Arial" w:cs="Arial"/>
          <w:sz w:val="24"/>
        </w:rPr>
      </w:pPr>
      <w:r w:rsidRPr="005E5FC8">
        <w:rPr>
          <w:rFonts w:ascii="Arial" w:hAnsi="Arial" w:cs="Arial"/>
          <w:sz w:val="24"/>
        </w:rPr>
        <w:t>It’s for the appellant to prove she is restricted as claimed, rather than the DWP to disprove them</w:t>
      </w:r>
    </w:p>
    <w:p w14:paraId="3CDCD881" w14:textId="77777777" w:rsidR="005E5FC8" w:rsidRPr="005E5FC8" w:rsidRDefault="005E5FC8" w:rsidP="00392D65">
      <w:pPr>
        <w:spacing w:after="0" w:line="240" w:lineRule="auto"/>
        <w:ind w:left="2835" w:right="-46"/>
        <w:rPr>
          <w:rFonts w:ascii="Arial" w:hAnsi="Arial" w:cs="Arial"/>
          <w:sz w:val="24"/>
        </w:rPr>
      </w:pPr>
    </w:p>
    <w:p w14:paraId="7F6AA619" w14:textId="77777777" w:rsidR="005E5FC8" w:rsidRPr="005E5FC8" w:rsidRDefault="005E5FC8" w:rsidP="00392D65">
      <w:pPr>
        <w:spacing w:after="0" w:line="240" w:lineRule="auto"/>
        <w:ind w:left="851" w:right="-46"/>
        <w:rPr>
          <w:rFonts w:ascii="Arial" w:hAnsi="Arial" w:cs="Arial"/>
          <w:sz w:val="24"/>
        </w:rPr>
      </w:pPr>
      <w:r w:rsidRPr="005E5FC8">
        <w:rPr>
          <w:rFonts w:ascii="Arial" w:hAnsi="Arial" w:cs="Arial"/>
          <w:sz w:val="24"/>
        </w:rPr>
        <w:t xml:space="preserve">3.1 The decision under appeal is of course a planned review decision as the previous award was not due to end until </w:t>
      </w:r>
      <w:r w:rsidRPr="005E5FC8">
        <w:rPr>
          <w:rFonts w:ascii="Arial" w:hAnsi="Arial" w:cs="Arial"/>
          <w:b/>
          <w:sz w:val="24"/>
          <w:u w:val="single"/>
        </w:rPr>
        <w:t>12 April 2019</w:t>
      </w:r>
      <w:r w:rsidRPr="005E5FC8">
        <w:rPr>
          <w:rFonts w:ascii="Arial" w:hAnsi="Arial" w:cs="Arial"/>
          <w:sz w:val="24"/>
        </w:rPr>
        <w:t>.  I</w:t>
      </w:r>
      <w:r w:rsidRPr="005E5FC8">
        <w:rPr>
          <w:rFonts w:ascii="Arial" w:hAnsi="Arial" w:cs="Arial"/>
          <w:b/>
          <w:sz w:val="24"/>
        </w:rPr>
        <w:t xml:space="preserve"> </w:t>
      </w:r>
      <w:r w:rsidRPr="005E5FC8">
        <w:rPr>
          <w:rFonts w:ascii="Arial" w:hAnsi="Arial" w:cs="Arial"/>
          <w:sz w:val="24"/>
        </w:rPr>
        <w:t>will discuss the consequences of this at [6-6.</w:t>
      </w:r>
      <w:proofErr w:type="gramStart"/>
      <w:r w:rsidRPr="005E5FC8">
        <w:rPr>
          <w:rFonts w:ascii="Arial" w:hAnsi="Arial" w:cs="Arial"/>
          <w:sz w:val="24"/>
        </w:rPr>
        <w:t>6 ]</w:t>
      </w:r>
      <w:proofErr w:type="gramEnd"/>
      <w:r w:rsidRPr="005E5FC8">
        <w:rPr>
          <w:rFonts w:ascii="Arial" w:hAnsi="Arial" w:cs="Arial"/>
          <w:sz w:val="24"/>
        </w:rPr>
        <w:t xml:space="preserve"> below, but before doing so I wish to bring the Tribunal’s attention to parts of the Respondent’s submission that can be seen as hostile, even threatening</w:t>
      </w:r>
    </w:p>
    <w:p w14:paraId="39731A19" w14:textId="77777777" w:rsidR="005E5FC8" w:rsidRPr="005E5FC8" w:rsidRDefault="005E5FC8" w:rsidP="00392D65">
      <w:pPr>
        <w:spacing w:after="0" w:line="240" w:lineRule="auto"/>
        <w:ind w:left="720" w:right="-46"/>
        <w:rPr>
          <w:rFonts w:ascii="Arial" w:hAnsi="Arial" w:cs="Arial"/>
          <w:sz w:val="24"/>
        </w:rPr>
      </w:pPr>
    </w:p>
    <w:p w14:paraId="0FBD053B" w14:textId="77777777" w:rsidR="005E5FC8" w:rsidRPr="005E5FC8" w:rsidRDefault="005E5FC8" w:rsidP="00392D65">
      <w:pPr>
        <w:numPr>
          <w:ilvl w:val="0"/>
          <w:numId w:val="1"/>
        </w:numPr>
        <w:spacing w:after="0" w:line="240" w:lineRule="auto"/>
        <w:ind w:right="-46"/>
        <w:rPr>
          <w:rFonts w:ascii="Arial" w:hAnsi="Arial" w:cs="Arial"/>
          <w:sz w:val="24"/>
        </w:rPr>
      </w:pPr>
      <w:r w:rsidRPr="005E5FC8">
        <w:rPr>
          <w:rFonts w:ascii="Arial" w:hAnsi="Arial" w:cs="Arial"/>
          <w:sz w:val="24"/>
        </w:rPr>
        <w:t xml:space="preserve">The Respondent avers </w:t>
      </w:r>
      <w:r w:rsidRPr="005E5FC8">
        <w:rPr>
          <w:rFonts w:ascii="Arial" w:hAnsi="Arial" w:cs="Arial"/>
          <w:b/>
          <w:sz w:val="24"/>
        </w:rPr>
        <w:t>(Section 4(1)-page E of the Response</w:t>
      </w:r>
      <w:r w:rsidRPr="005E5FC8">
        <w:rPr>
          <w:rFonts w:ascii="Arial" w:hAnsi="Arial" w:cs="Arial"/>
          <w:sz w:val="24"/>
        </w:rPr>
        <w:t>)</w:t>
      </w:r>
    </w:p>
    <w:p w14:paraId="617E5B3C" w14:textId="77777777" w:rsidR="005E5FC8" w:rsidRPr="005E5FC8" w:rsidRDefault="005E5FC8" w:rsidP="00392D65">
      <w:pPr>
        <w:spacing w:after="0" w:line="240" w:lineRule="auto"/>
        <w:ind w:left="720" w:right="-46"/>
        <w:rPr>
          <w:rFonts w:ascii="Arial" w:hAnsi="Arial" w:cs="Arial"/>
          <w:sz w:val="24"/>
        </w:rPr>
      </w:pPr>
    </w:p>
    <w:p w14:paraId="477EEC7B" w14:textId="77777777" w:rsidR="005E5FC8" w:rsidRPr="005E5FC8" w:rsidRDefault="005E5FC8" w:rsidP="00392D65">
      <w:pPr>
        <w:spacing w:after="0" w:line="240" w:lineRule="auto"/>
        <w:ind w:left="2410" w:right="-46"/>
        <w:rPr>
          <w:rFonts w:ascii="Arial" w:hAnsi="Arial" w:cs="Arial"/>
          <w:sz w:val="24"/>
        </w:rPr>
      </w:pPr>
      <w:r w:rsidRPr="005E5FC8">
        <w:rPr>
          <w:rFonts w:ascii="Arial" w:hAnsi="Arial" w:cs="Arial"/>
          <w:sz w:val="24"/>
        </w:rPr>
        <w:t>She declined aspects of the physical examination and was obstructive with reasonable requests for examination ….and in the peak flow test she affected poor technique</w:t>
      </w:r>
    </w:p>
    <w:p w14:paraId="6B4302CC" w14:textId="77777777" w:rsidR="005E5FC8" w:rsidRPr="005E5FC8" w:rsidRDefault="005E5FC8" w:rsidP="00392D65">
      <w:pPr>
        <w:spacing w:after="0" w:line="240" w:lineRule="auto"/>
        <w:ind w:left="2410" w:right="-46"/>
        <w:rPr>
          <w:rFonts w:ascii="Arial" w:hAnsi="Arial" w:cs="Arial"/>
          <w:sz w:val="24"/>
        </w:rPr>
      </w:pPr>
    </w:p>
    <w:p w14:paraId="04CF3D54" w14:textId="77777777" w:rsidR="005E5FC8" w:rsidRPr="005E5FC8" w:rsidRDefault="005E5FC8" w:rsidP="00392D65">
      <w:pPr>
        <w:tabs>
          <w:tab w:val="left" w:pos="9781"/>
        </w:tabs>
        <w:spacing w:after="0" w:line="240" w:lineRule="auto"/>
        <w:ind w:left="709" w:right="-46"/>
        <w:rPr>
          <w:rFonts w:ascii="Arial" w:hAnsi="Arial" w:cs="Arial"/>
          <w:b/>
          <w:sz w:val="24"/>
        </w:rPr>
      </w:pPr>
      <w:r w:rsidRPr="005E5FC8">
        <w:rPr>
          <w:rFonts w:ascii="Arial" w:hAnsi="Arial" w:cs="Arial"/>
          <w:sz w:val="24"/>
        </w:rPr>
        <w:t xml:space="preserve">And </w:t>
      </w:r>
      <w:r w:rsidRPr="005E5FC8">
        <w:rPr>
          <w:rFonts w:ascii="Arial" w:hAnsi="Arial" w:cs="Arial"/>
          <w:b/>
          <w:sz w:val="24"/>
        </w:rPr>
        <w:t xml:space="preserve">(S4(6) page M and N of the Response) </w:t>
      </w:r>
      <w:r w:rsidRPr="005E5FC8">
        <w:rPr>
          <w:rFonts w:ascii="Arial" w:hAnsi="Arial" w:cs="Arial"/>
          <w:sz w:val="24"/>
        </w:rPr>
        <w:t>(the emphasis is mine)</w:t>
      </w:r>
    </w:p>
    <w:p w14:paraId="1D7084AD" w14:textId="77777777" w:rsidR="005E5FC8" w:rsidRPr="005E5FC8" w:rsidRDefault="005E5FC8" w:rsidP="00392D65">
      <w:pPr>
        <w:spacing w:after="0" w:line="240" w:lineRule="auto"/>
        <w:ind w:left="720" w:right="-46"/>
        <w:rPr>
          <w:rFonts w:ascii="Arial" w:hAnsi="Arial" w:cs="Arial"/>
          <w:b/>
          <w:sz w:val="24"/>
        </w:rPr>
      </w:pPr>
    </w:p>
    <w:p w14:paraId="009EAD6E" w14:textId="6989D403" w:rsidR="005E5FC8" w:rsidRPr="005E5FC8" w:rsidRDefault="005E5FC8" w:rsidP="00392D65">
      <w:pPr>
        <w:spacing w:after="0" w:line="240" w:lineRule="auto"/>
        <w:ind w:left="2410" w:right="-46"/>
        <w:rPr>
          <w:rFonts w:ascii="Arial" w:hAnsi="Arial" w:cs="Arial"/>
          <w:b/>
          <w:sz w:val="24"/>
          <w:u w:val="single"/>
        </w:rPr>
      </w:pPr>
      <w:r w:rsidRPr="005E5FC8">
        <w:rPr>
          <w:rFonts w:ascii="Arial" w:hAnsi="Arial" w:cs="Arial"/>
          <w:sz w:val="24"/>
        </w:rPr>
        <w:t xml:space="preserve">Although Miss </w:t>
      </w:r>
      <w:r>
        <w:rPr>
          <w:rFonts w:ascii="Arial" w:hAnsi="Arial" w:cs="Arial"/>
          <w:sz w:val="24"/>
        </w:rPr>
        <w:t>X</w:t>
      </w:r>
      <w:r w:rsidRPr="005E5FC8">
        <w:rPr>
          <w:rFonts w:ascii="Arial" w:hAnsi="Arial" w:cs="Arial"/>
          <w:sz w:val="24"/>
        </w:rPr>
        <w:t xml:space="preserve"> has identified a high level of personal restriction, she is entitled to Carer’s.  To be entitled to Carer’s Allowance a person must prove at least 35 hours of care to another disable</w:t>
      </w:r>
      <w:r w:rsidR="00392D65">
        <w:rPr>
          <w:rFonts w:ascii="Arial" w:hAnsi="Arial" w:cs="Arial"/>
          <w:sz w:val="24"/>
        </w:rPr>
        <w:t>d</w:t>
      </w:r>
      <w:bookmarkStart w:id="0" w:name="_GoBack"/>
      <w:bookmarkEnd w:id="0"/>
      <w:r w:rsidRPr="005E5FC8">
        <w:rPr>
          <w:rFonts w:ascii="Arial" w:hAnsi="Arial" w:cs="Arial"/>
          <w:sz w:val="24"/>
        </w:rPr>
        <w:t xml:space="preserve"> person each week.  </w:t>
      </w:r>
      <w:r w:rsidRPr="005E5FC8">
        <w:rPr>
          <w:rFonts w:ascii="Arial" w:hAnsi="Arial" w:cs="Arial"/>
          <w:b/>
          <w:sz w:val="24"/>
          <w:u w:val="single"/>
        </w:rPr>
        <w:t xml:space="preserve">In </w:t>
      </w:r>
      <w:proofErr w:type="gramStart"/>
      <w:r w:rsidRPr="005E5FC8">
        <w:rPr>
          <w:rFonts w:ascii="Arial" w:hAnsi="Arial" w:cs="Arial"/>
          <w:b/>
          <w:sz w:val="24"/>
          <w:u w:val="single"/>
        </w:rPr>
        <w:t>this lying bitches</w:t>
      </w:r>
      <w:proofErr w:type="gramEnd"/>
      <w:r w:rsidRPr="005E5FC8">
        <w:rPr>
          <w:rFonts w:ascii="Arial" w:hAnsi="Arial" w:cs="Arial"/>
          <w:sz w:val="24"/>
        </w:rPr>
        <w:t xml:space="preserve"> case she is receiving the middle rate carers allowance.  </w:t>
      </w:r>
      <w:r w:rsidRPr="005E5FC8">
        <w:rPr>
          <w:rFonts w:ascii="Arial" w:hAnsi="Arial" w:cs="Arial"/>
          <w:b/>
          <w:sz w:val="24"/>
          <w:u w:val="single"/>
        </w:rPr>
        <w:t>The Tribunal may wish to explore this further</w:t>
      </w:r>
    </w:p>
    <w:p w14:paraId="626FFA80" w14:textId="77777777" w:rsidR="005E5FC8" w:rsidRPr="005E5FC8" w:rsidRDefault="005E5FC8" w:rsidP="00392D65">
      <w:pPr>
        <w:spacing w:after="0" w:line="240" w:lineRule="auto"/>
        <w:ind w:left="2410" w:right="-46"/>
        <w:rPr>
          <w:rFonts w:ascii="Arial" w:hAnsi="Arial" w:cs="Arial"/>
          <w:b/>
          <w:sz w:val="24"/>
          <w:u w:val="single"/>
        </w:rPr>
      </w:pPr>
    </w:p>
    <w:p w14:paraId="7CE9DA69" w14:textId="77777777" w:rsidR="005E5FC8" w:rsidRPr="005E5FC8" w:rsidRDefault="005E5FC8" w:rsidP="00392D65">
      <w:pPr>
        <w:numPr>
          <w:ilvl w:val="1"/>
          <w:numId w:val="1"/>
        </w:numPr>
        <w:spacing w:after="0" w:line="240" w:lineRule="auto"/>
        <w:ind w:right="-46"/>
        <w:contextualSpacing/>
        <w:rPr>
          <w:rFonts w:ascii="Arial" w:hAnsi="Arial" w:cs="Arial"/>
          <w:sz w:val="24"/>
        </w:rPr>
      </w:pPr>
      <w:r w:rsidRPr="005E5FC8">
        <w:rPr>
          <w:rFonts w:ascii="Arial" w:hAnsi="Arial" w:cs="Arial"/>
          <w:sz w:val="24"/>
        </w:rPr>
        <w:t>The Respondent (</w:t>
      </w:r>
      <w:r w:rsidRPr="005E5FC8">
        <w:rPr>
          <w:rFonts w:ascii="Arial" w:hAnsi="Arial" w:cs="Arial"/>
          <w:b/>
          <w:sz w:val="24"/>
        </w:rPr>
        <w:t>Conclusion Page N of the Response</w:t>
      </w:r>
      <w:r w:rsidRPr="005E5FC8">
        <w:rPr>
          <w:rFonts w:ascii="Arial" w:hAnsi="Arial" w:cs="Arial"/>
          <w:sz w:val="24"/>
        </w:rPr>
        <w:t>) goes on to say</w:t>
      </w:r>
    </w:p>
    <w:p w14:paraId="326CF89D" w14:textId="77777777" w:rsidR="005E5FC8" w:rsidRPr="005E5FC8" w:rsidRDefault="005E5FC8" w:rsidP="00392D65">
      <w:pPr>
        <w:spacing w:after="0" w:line="240" w:lineRule="auto"/>
        <w:ind w:left="1069" w:right="-46"/>
        <w:contextualSpacing/>
        <w:rPr>
          <w:rFonts w:ascii="Arial" w:hAnsi="Arial" w:cs="Arial"/>
          <w:sz w:val="24"/>
        </w:rPr>
      </w:pPr>
    </w:p>
    <w:p w14:paraId="198A6C4A" w14:textId="77777777" w:rsidR="005E5FC8" w:rsidRPr="005E5FC8" w:rsidRDefault="005E5FC8" w:rsidP="00392D65">
      <w:pPr>
        <w:spacing w:after="0" w:line="240" w:lineRule="auto"/>
        <w:ind w:left="2410" w:right="-46"/>
        <w:contextualSpacing/>
        <w:rPr>
          <w:rFonts w:ascii="Arial" w:hAnsi="Arial" w:cs="Arial"/>
          <w:sz w:val="24"/>
        </w:rPr>
      </w:pPr>
      <w:r w:rsidRPr="005E5FC8">
        <w:rPr>
          <w:rFonts w:ascii="Arial" w:hAnsi="Arial" w:cs="Arial"/>
          <w:sz w:val="24"/>
        </w:rPr>
        <w:t>The appellant is advised the Tribunal has the power to increase or decrease the rate or period of the award……</w:t>
      </w:r>
    </w:p>
    <w:p w14:paraId="6E6910C5" w14:textId="77777777" w:rsidR="005E5FC8" w:rsidRPr="005E5FC8" w:rsidRDefault="005E5FC8" w:rsidP="00392D65">
      <w:pPr>
        <w:spacing w:after="0" w:line="240" w:lineRule="auto"/>
        <w:ind w:right="-46"/>
        <w:rPr>
          <w:rFonts w:ascii="Arial" w:hAnsi="Arial" w:cs="Arial"/>
          <w:sz w:val="24"/>
        </w:rPr>
      </w:pPr>
    </w:p>
    <w:p w14:paraId="4FB5571E" w14:textId="77777777" w:rsidR="005E5FC8" w:rsidRPr="005E5FC8" w:rsidRDefault="005E5FC8" w:rsidP="00392D65">
      <w:pPr>
        <w:numPr>
          <w:ilvl w:val="1"/>
          <w:numId w:val="1"/>
        </w:numPr>
        <w:spacing w:after="0" w:line="240" w:lineRule="auto"/>
        <w:ind w:right="-46"/>
        <w:contextualSpacing/>
        <w:rPr>
          <w:rFonts w:ascii="Arial" w:hAnsi="Arial" w:cs="Arial"/>
          <w:sz w:val="24"/>
        </w:rPr>
      </w:pPr>
      <w:r w:rsidRPr="005E5FC8">
        <w:rPr>
          <w:rFonts w:ascii="Arial" w:hAnsi="Arial" w:cs="Arial"/>
          <w:sz w:val="24"/>
        </w:rPr>
        <w:t xml:space="preserve"> Whilst the Respondent is technically correct about the powers of the Tribunal, it is well established that those powers are not unrestrained (see for example CDLA/2084/2007 at [14]).</w:t>
      </w:r>
    </w:p>
    <w:p w14:paraId="7ADBF5FB" w14:textId="77777777" w:rsidR="005E5FC8" w:rsidRPr="005E5FC8" w:rsidRDefault="005E5FC8" w:rsidP="00392D65">
      <w:pPr>
        <w:spacing w:after="0" w:line="240" w:lineRule="auto"/>
        <w:ind w:left="1069" w:right="-46"/>
        <w:contextualSpacing/>
        <w:rPr>
          <w:rFonts w:ascii="Arial" w:hAnsi="Arial" w:cs="Arial"/>
          <w:sz w:val="24"/>
        </w:rPr>
      </w:pPr>
      <w:r w:rsidRPr="005E5FC8">
        <w:rPr>
          <w:rFonts w:ascii="Arial" w:hAnsi="Arial" w:cs="Arial"/>
          <w:sz w:val="24"/>
        </w:rPr>
        <w:t xml:space="preserve">  </w:t>
      </w:r>
    </w:p>
    <w:p w14:paraId="6378A773" w14:textId="43E7A337" w:rsidR="005E5FC8" w:rsidRPr="005E5FC8" w:rsidRDefault="005E5FC8" w:rsidP="00392D65">
      <w:pPr>
        <w:numPr>
          <w:ilvl w:val="1"/>
          <w:numId w:val="1"/>
        </w:numPr>
        <w:spacing w:after="0" w:line="240" w:lineRule="auto"/>
        <w:ind w:right="-46"/>
        <w:contextualSpacing/>
        <w:rPr>
          <w:rFonts w:ascii="Arial" w:hAnsi="Arial" w:cs="Arial"/>
          <w:sz w:val="24"/>
        </w:rPr>
      </w:pPr>
      <w:r w:rsidRPr="005E5FC8">
        <w:rPr>
          <w:rFonts w:ascii="Arial" w:hAnsi="Arial" w:cs="Arial"/>
          <w:b/>
          <w:sz w:val="24"/>
        </w:rPr>
        <w:t xml:space="preserve">The Respondent’s statement in the present case, when seen in the context of the </w:t>
      </w:r>
      <w:proofErr w:type="gramStart"/>
      <w:r w:rsidRPr="005E5FC8">
        <w:rPr>
          <w:rFonts w:ascii="Arial" w:hAnsi="Arial" w:cs="Arial"/>
          <w:b/>
          <w:sz w:val="24"/>
        </w:rPr>
        <w:t>submission as a whole, can</w:t>
      </w:r>
      <w:proofErr w:type="gramEnd"/>
      <w:r w:rsidRPr="005E5FC8">
        <w:rPr>
          <w:rFonts w:ascii="Arial" w:hAnsi="Arial" w:cs="Arial"/>
          <w:b/>
          <w:sz w:val="24"/>
        </w:rPr>
        <w:t xml:space="preserve"> only be seen as a threat designed to discourage Miss </w:t>
      </w:r>
      <w:r>
        <w:rPr>
          <w:rFonts w:ascii="Arial" w:hAnsi="Arial" w:cs="Arial"/>
          <w:b/>
          <w:sz w:val="24"/>
        </w:rPr>
        <w:t>X</w:t>
      </w:r>
      <w:r w:rsidRPr="005E5FC8">
        <w:rPr>
          <w:rFonts w:ascii="Arial" w:hAnsi="Arial" w:cs="Arial"/>
          <w:b/>
          <w:sz w:val="24"/>
        </w:rPr>
        <w:t xml:space="preserve"> from continuing with her appeal</w:t>
      </w:r>
      <w:r w:rsidRPr="005E5FC8">
        <w:rPr>
          <w:rFonts w:ascii="Arial" w:hAnsi="Arial" w:cs="Arial"/>
          <w:sz w:val="24"/>
        </w:rPr>
        <w:t>.</w:t>
      </w:r>
    </w:p>
    <w:p w14:paraId="26BCDDFD" w14:textId="77777777" w:rsidR="005E5FC8" w:rsidRPr="005E5FC8" w:rsidRDefault="005E5FC8" w:rsidP="00392D65">
      <w:pPr>
        <w:ind w:left="720" w:right="-46"/>
        <w:contextualSpacing/>
        <w:rPr>
          <w:rFonts w:ascii="Arial" w:hAnsi="Arial" w:cs="Arial"/>
          <w:sz w:val="24"/>
        </w:rPr>
      </w:pPr>
    </w:p>
    <w:p w14:paraId="369D0C60" w14:textId="263F0941" w:rsidR="005E5FC8" w:rsidRPr="005E5FC8" w:rsidRDefault="005E5FC8" w:rsidP="00392D65">
      <w:pPr>
        <w:numPr>
          <w:ilvl w:val="1"/>
          <w:numId w:val="1"/>
        </w:numPr>
        <w:spacing w:after="0" w:line="240" w:lineRule="auto"/>
        <w:ind w:right="-46"/>
        <w:contextualSpacing/>
        <w:rPr>
          <w:rFonts w:ascii="Arial" w:hAnsi="Arial" w:cs="Arial"/>
          <w:sz w:val="24"/>
        </w:rPr>
      </w:pPr>
      <w:r w:rsidRPr="005E5FC8">
        <w:rPr>
          <w:rFonts w:ascii="Arial" w:hAnsi="Arial" w:cs="Arial"/>
          <w:sz w:val="24"/>
        </w:rPr>
        <w:t>The Respondent has clearly breached rule 2 in and I ask the Tribunal to consider whether this breach is sufficiently serious for the case to be referred under Rule7(3) to the Upper Tribunal (UT) and that the UT be asked to exercise its powers under S25 of the Tribunals Courts and Enforcement Act 2007.</w:t>
      </w:r>
      <w:r w:rsidR="00392D65">
        <w:rPr>
          <w:rFonts w:ascii="Arial" w:hAnsi="Arial" w:cs="Arial"/>
          <w:sz w:val="24"/>
        </w:rPr>
        <w:t xml:space="preserve">   </w:t>
      </w:r>
    </w:p>
    <w:sectPr w:rsidR="005E5FC8" w:rsidRPr="005E5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353D3"/>
    <w:multiLevelType w:val="multilevel"/>
    <w:tmpl w:val="A7B8E8E4"/>
    <w:lvl w:ilvl="0">
      <w:start w:val="3"/>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C8"/>
    <w:rsid w:val="00392D65"/>
    <w:rsid w:val="005E5FC8"/>
    <w:rsid w:val="00C16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E5A8"/>
  <w15:chartTrackingRefBased/>
  <w15:docId w15:val="{FD3BD51D-6D49-4950-829A-A997EEA0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2</cp:revision>
  <dcterms:created xsi:type="dcterms:W3CDTF">2019-03-27T12:08:00Z</dcterms:created>
  <dcterms:modified xsi:type="dcterms:W3CDTF">2019-03-27T12:08:00Z</dcterms:modified>
</cp:coreProperties>
</file>