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B18C" w14:textId="326D388F" w:rsidR="00216C46" w:rsidRPr="00216C46" w:rsidRDefault="00216C46" w:rsidP="00216C46">
      <w:pPr>
        <w:rPr>
          <w:rFonts w:ascii="Trebuchet MS" w:hAnsi="Trebuchet MS"/>
          <w:b/>
          <w:bCs/>
          <w:sz w:val="24"/>
          <w:szCs w:val="24"/>
        </w:rPr>
      </w:pPr>
      <w:r w:rsidRPr="00216C46">
        <w:rPr>
          <w:rFonts w:ascii="Trebuchet MS" w:hAnsi="Trebuchet MS"/>
          <w:b/>
          <w:bCs/>
          <w:sz w:val="24"/>
          <w:szCs w:val="24"/>
        </w:rPr>
        <w:t>Guide to what happens when a complaint comes to PHSO</w:t>
      </w:r>
    </w:p>
    <w:p w14:paraId="6BA06170" w14:textId="77777777" w:rsidR="00216C46" w:rsidRDefault="00216C46" w:rsidP="00216C46">
      <w:pPr>
        <w:rPr>
          <w:rFonts w:ascii="Trebuchet MS" w:hAnsi="Trebuchet MS"/>
          <w:sz w:val="24"/>
          <w:szCs w:val="24"/>
        </w:rPr>
      </w:pPr>
    </w:p>
    <w:p w14:paraId="3FE956C6" w14:textId="34454054" w:rsidR="00861036" w:rsidRDefault="00216C46" w:rsidP="00216C4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below is a summary of </w:t>
      </w:r>
      <w:r w:rsidR="00826ADB">
        <w:rPr>
          <w:rFonts w:ascii="Trebuchet MS" w:hAnsi="Trebuchet MS"/>
          <w:sz w:val="24"/>
          <w:szCs w:val="24"/>
        </w:rPr>
        <w:t>key</w:t>
      </w:r>
      <w:r w:rsidR="0061792F">
        <w:rPr>
          <w:rFonts w:ascii="Trebuchet MS" w:hAnsi="Trebuchet MS"/>
          <w:sz w:val="24"/>
          <w:szCs w:val="24"/>
        </w:rPr>
        <w:t xml:space="preserve">, relevant </w:t>
      </w:r>
      <w:r w:rsidR="00826ADB">
        <w:rPr>
          <w:rFonts w:ascii="Trebuchet MS" w:hAnsi="Trebuchet MS"/>
          <w:sz w:val="24"/>
          <w:szCs w:val="24"/>
        </w:rPr>
        <w:t xml:space="preserve">aspects of </w:t>
      </w:r>
      <w:r>
        <w:rPr>
          <w:rFonts w:ascii="Trebuchet MS" w:hAnsi="Trebuchet MS"/>
          <w:sz w:val="24"/>
          <w:szCs w:val="24"/>
        </w:rPr>
        <w:t>the approach we take to decide how best to handle a complaint</w:t>
      </w:r>
      <w:r w:rsidR="00D7214A">
        <w:rPr>
          <w:rFonts w:ascii="Trebuchet MS" w:hAnsi="Trebuchet MS"/>
          <w:sz w:val="24"/>
          <w:szCs w:val="24"/>
        </w:rPr>
        <w:t xml:space="preserve">. </w:t>
      </w:r>
      <w:r w:rsidR="00861036">
        <w:rPr>
          <w:rFonts w:ascii="Trebuchet MS" w:hAnsi="Trebuchet MS"/>
          <w:sz w:val="24"/>
          <w:szCs w:val="24"/>
        </w:rPr>
        <w:t>It is not designed to be an exhaustive list of the processes that come under our Service Model.</w:t>
      </w:r>
    </w:p>
    <w:p w14:paraId="64DC7BF2" w14:textId="77777777" w:rsidR="00861036" w:rsidRDefault="00861036" w:rsidP="00216C46">
      <w:pPr>
        <w:rPr>
          <w:rFonts w:ascii="Trebuchet MS" w:hAnsi="Trebuchet MS"/>
          <w:sz w:val="24"/>
          <w:szCs w:val="24"/>
        </w:rPr>
      </w:pPr>
    </w:p>
    <w:p w14:paraId="4C3FDDA0" w14:textId="7CA2C4E9" w:rsidR="00216C46" w:rsidRDefault="00216C46" w:rsidP="00216C4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Some of these </w:t>
      </w:r>
      <w:r w:rsidR="0061792F">
        <w:rPr>
          <w:rFonts w:ascii="Trebuchet MS" w:hAnsi="Trebuchet MS"/>
          <w:sz w:val="24"/>
          <w:szCs w:val="24"/>
        </w:rPr>
        <w:t xml:space="preserve">aspects are given </w:t>
      </w:r>
      <w:r>
        <w:rPr>
          <w:rFonts w:ascii="Trebuchet MS" w:hAnsi="Trebuchet MS"/>
          <w:sz w:val="24"/>
          <w:szCs w:val="24"/>
        </w:rPr>
        <w:t xml:space="preserve">under our legislation, whilst others refer to the broad discretion PHSO has when considering whether to investigate a complaint.  </w:t>
      </w:r>
    </w:p>
    <w:p w14:paraId="56D8B9E6" w14:textId="77777777" w:rsidR="00216C46" w:rsidRDefault="00216C46" w:rsidP="00216C46">
      <w:pPr>
        <w:rPr>
          <w:rFonts w:ascii="Trebuchet MS" w:hAnsi="Trebuchet MS"/>
          <w:sz w:val="24"/>
          <w:szCs w:val="24"/>
        </w:rPr>
      </w:pPr>
    </w:p>
    <w:p w14:paraId="57A59B40" w14:textId="6AD7CB14" w:rsidR="00216C46" w:rsidRDefault="00216C46" w:rsidP="00216C4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There’s more information on our website that sets out our procedures </w:t>
      </w:r>
      <w:hyperlink r:id="rId8" w:history="1">
        <w:r>
          <w:rPr>
            <w:rStyle w:val="Hyperlink"/>
            <w:rFonts w:ascii="Trebuchet MS" w:hAnsi="Trebuchet MS"/>
            <w:sz w:val="24"/>
            <w:szCs w:val="24"/>
          </w:rPr>
          <w:t>How we deal with complaints | Parliamentary and Health Service Ombudsman (PHSO)</w:t>
        </w:r>
      </w:hyperlink>
      <w:r>
        <w:rPr>
          <w:rFonts w:ascii="Trebuchet MS" w:hAnsi="Trebuchet MS"/>
          <w:sz w:val="24"/>
          <w:szCs w:val="24"/>
        </w:rPr>
        <w:t xml:space="preserve">. </w:t>
      </w:r>
    </w:p>
    <w:p w14:paraId="7F6F3A73" w14:textId="69224729" w:rsidR="00216C46" w:rsidRDefault="00216C46" w:rsidP="00216C46">
      <w:pPr>
        <w:rPr>
          <w:rFonts w:ascii="Trebuchet MS" w:hAnsi="Trebuchet MS"/>
          <w:sz w:val="24"/>
          <w:szCs w:val="24"/>
        </w:rPr>
      </w:pPr>
    </w:p>
    <w:p w14:paraId="2E374D39" w14:textId="01AFFE21" w:rsidR="00216C46" w:rsidRDefault="00216C46" w:rsidP="00216C4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We’d be happy to talk in more detail about our casework process to you and your colleagues if that would help.</w:t>
      </w:r>
    </w:p>
    <w:p w14:paraId="57B4EE76" w14:textId="532D00BB" w:rsidR="00F649C6" w:rsidRDefault="00F649C6" w:rsidP="00216C46">
      <w:pPr>
        <w:rPr>
          <w:rFonts w:ascii="Trebuchet MS" w:hAnsi="Trebuchet MS"/>
          <w:sz w:val="24"/>
          <w:szCs w:val="24"/>
        </w:rPr>
      </w:pPr>
    </w:p>
    <w:p w14:paraId="0081EAF1" w14:textId="307FE310" w:rsidR="00F649C6" w:rsidRDefault="00F649C6" w:rsidP="00216C46">
      <w:pPr>
        <w:rPr>
          <w:rFonts w:ascii="Trebuchet MS" w:hAnsi="Trebuchet MS"/>
          <w:sz w:val="24"/>
          <w:szCs w:val="24"/>
        </w:rPr>
      </w:pPr>
      <w:r w:rsidRPr="00F61E1E">
        <w:rPr>
          <w:rFonts w:ascii="Trebuchet MS" w:hAnsi="Trebuchet MS"/>
          <w:b/>
          <w:bCs/>
          <w:sz w:val="24"/>
          <w:szCs w:val="24"/>
        </w:rPr>
        <w:t>UKCG</w:t>
      </w:r>
      <w:r>
        <w:rPr>
          <w:rFonts w:ascii="Trebuchet MS" w:hAnsi="Trebuchet MS"/>
          <w:sz w:val="24"/>
          <w:szCs w:val="24"/>
        </w:rPr>
        <w:t xml:space="preserve"> = UK Central Government Departments and its agencies (and other public bodies)</w:t>
      </w:r>
    </w:p>
    <w:p w14:paraId="26EC5C94" w14:textId="231FA376" w:rsidR="00216C46" w:rsidRDefault="00216C46" w:rsidP="00216C46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95"/>
        <w:gridCol w:w="5440"/>
        <w:gridCol w:w="5613"/>
      </w:tblGrid>
      <w:tr w:rsidR="00216C46" w14:paraId="3A2FD325" w14:textId="77777777" w:rsidTr="007F0E83">
        <w:trPr>
          <w:tblHeader/>
        </w:trPr>
        <w:tc>
          <w:tcPr>
            <w:tcW w:w="1038" w:type="pct"/>
          </w:tcPr>
          <w:p w14:paraId="193B3BB3" w14:textId="12DB66AA" w:rsidR="00216C46" w:rsidRPr="000331E9" w:rsidRDefault="000331E9" w:rsidP="00216C4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0331E9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Approach </w:t>
            </w:r>
          </w:p>
        </w:tc>
        <w:tc>
          <w:tcPr>
            <w:tcW w:w="1950" w:type="pct"/>
          </w:tcPr>
          <w:p w14:paraId="106DF4D5" w14:textId="26DAA58F" w:rsidR="00216C46" w:rsidRPr="000331E9" w:rsidRDefault="000331E9" w:rsidP="00216C4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0331E9">
              <w:rPr>
                <w:rFonts w:ascii="Trebuchet MS" w:hAnsi="Trebuchet MS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012" w:type="pct"/>
          </w:tcPr>
          <w:p w14:paraId="655648B2" w14:textId="79883325" w:rsidR="00216C46" w:rsidRPr="000331E9" w:rsidRDefault="000331E9" w:rsidP="00216C46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0331E9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Other factors </w:t>
            </w:r>
          </w:p>
        </w:tc>
      </w:tr>
      <w:tr w:rsidR="00926F2D" w14:paraId="23D62BF5" w14:textId="77777777" w:rsidTr="0091293E">
        <w:trPr>
          <w:trHeight w:val="283"/>
        </w:trPr>
        <w:tc>
          <w:tcPr>
            <w:tcW w:w="5000" w:type="pct"/>
            <w:gridSpan w:val="3"/>
          </w:tcPr>
          <w:p w14:paraId="6CA57DC0" w14:textId="068FD084" w:rsidR="00926F2D" w:rsidRPr="00926F2D" w:rsidRDefault="00926F2D" w:rsidP="00216C46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26F2D">
              <w:rPr>
                <w:rFonts w:ascii="Trebuchet MS" w:hAnsi="Trebuchet MS"/>
                <w:b/>
                <w:bCs/>
                <w:sz w:val="20"/>
                <w:szCs w:val="20"/>
              </w:rPr>
              <w:t>Step 1</w:t>
            </w:r>
          </w:p>
        </w:tc>
      </w:tr>
      <w:tr w:rsidR="00EC0A3C" w14:paraId="22531075" w14:textId="77777777" w:rsidTr="00801849">
        <w:trPr>
          <w:trHeight w:val="588"/>
        </w:trPr>
        <w:tc>
          <w:tcPr>
            <w:tcW w:w="1038" w:type="pct"/>
            <w:vMerge w:val="restart"/>
          </w:tcPr>
          <w:p w14:paraId="57C3FD4B" w14:textId="34459A96" w:rsidR="00EC0A3C" w:rsidRPr="00873F26" w:rsidRDefault="00EC0A3C" w:rsidP="00216C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Is it a ‘properly made’ complaint?</w:t>
            </w:r>
          </w:p>
        </w:tc>
        <w:tc>
          <w:tcPr>
            <w:tcW w:w="1950" w:type="pct"/>
          </w:tcPr>
          <w:p w14:paraId="14D911B2" w14:textId="52DC7BBD" w:rsidR="00EC0A3C" w:rsidRPr="00E13A85" w:rsidRDefault="00EC0A3C" w:rsidP="004F0AD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Under our legislation a complaint must be m</w:t>
            </w:r>
            <w:r w:rsidRPr="00E13A85">
              <w:rPr>
                <w:rFonts w:ascii="Trebuchet MS" w:hAnsi="Trebuchet MS"/>
                <w:sz w:val="20"/>
                <w:szCs w:val="20"/>
              </w:rPr>
              <w:t>ade in writing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012" w:type="pct"/>
          </w:tcPr>
          <w:p w14:paraId="66889F45" w14:textId="210D8676" w:rsidR="00EC0A3C" w:rsidRPr="00873F26" w:rsidRDefault="00B54454" w:rsidP="00216C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PHSO</w:t>
            </w:r>
            <w:r w:rsidR="00E8625D" w:rsidRPr="00E8625D">
              <w:rPr>
                <w:rFonts w:ascii="Trebuchet MS" w:hAnsi="Trebuchet MS"/>
                <w:sz w:val="20"/>
                <w:szCs w:val="20"/>
              </w:rPr>
              <w:t xml:space="preserve"> treat</w:t>
            </w:r>
            <w:r>
              <w:rPr>
                <w:rFonts w:ascii="Trebuchet MS" w:hAnsi="Trebuchet MS"/>
                <w:sz w:val="20"/>
                <w:szCs w:val="20"/>
              </w:rPr>
              <w:t>s</w:t>
            </w:r>
            <w:r w:rsidR="00E8625D" w:rsidRPr="00E8625D">
              <w:rPr>
                <w:rFonts w:ascii="Trebuchet MS" w:hAnsi="Trebuchet MS"/>
                <w:sz w:val="20"/>
                <w:szCs w:val="20"/>
              </w:rPr>
              <w:t xml:space="preserve"> complaints made by email or via </w:t>
            </w:r>
            <w:r>
              <w:rPr>
                <w:rFonts w:ascii="Trebuchet MS" w:hAnsi="Trebuchet MS"/>
                <w:sz w:val="20"/>
                <w:szCs w:val="20"/>
              </w:rPr>
              <w:t>its</w:t>
            </w:r>
            <w:r w:rsidR="00E8625D" w:rsidRPr="00E8625D">
              <w:rPr>
                <w:rFonts w:ascii="Trebuchet MS" w:hAnsi="Trebuchet MS"/>
                <w:sz w:val="20"/>
                <w:szCs w:val="20"/>
              </w:rPr>
              <w:t xml:space="preserve"> online complaint form as being in writing.</w:t>
            </w:r>
          </w:p>
        </w:tc>
      </w:tr>
      <w:tr w:rsidR="00EC0A3C" w14:paraId="5F0EFF51" w14:textId="77777777" w:rsidTr="00B54454">
        <w:trPr>
          <w:trHeight w:val="735"/>
        </w:trPr>
        <w:tc>
          <w:tcPr>
            <w:tcW w:w="1038" w:type="pct"/>
            <w:vMerge/>
          </w:tcPr>
          <w:p w14:paraId="514A2924" w14:textId="77777777" w:rsidR="00EC0A3C" w:rsidRDefault="00EC0A3C" w:rsidP="00216C4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50" w:type="pct"/>
          </w:tcPr>
          <w:p w14:paraId="7785682E" w14:textId="52818390" w:rsidR="00EC0A3C" w:rsidRDefault="00EC0A3C" w:rsidP="004F0AD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If the complaint is about </w:t>
            </w:r>
            <w:r w:rsidR="00F649C6">
              <w:rPr>
                <w:rFonts w:ascii="Trebuchet MS" w:hAnsi="Trebuchet MS"/>
                <w:sz w:val="20"/>
                <w:szCs w:val="20"/>
              </w:rPr>
              <w:t>UKCG, it</w:t>
            </w:r>
            <w:r>
              <w:rPr>
                <w:rFonts w:ascii="Trebuchet MS" w:hAnsi="Trebuchet MS"/>
                <w:sz w:val="20"/>
                <w:szCs w:val="20"/>
              </w:rPr>
              <w:t xml:space="preserve"> must be referred to PHSO by a Member of Parliament.  </w:t>
            </w:r>
          </w:p>
          <w:p w14:paraId="25193886" w14:textId="77777777" w:rsidR="00EC0A3C" w:rsidRDefault="00EC0A3C" w:rsidP="00E13A8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12" w:type="pct"/>
          </w:tcPr>
          <w:p w14:paraId="64597CF6" w14:textId="77777777" w:rsidR="00EC0A3C" w:rsidRDefault="00EC0A3C" w:rsidP="00216C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This does not have to be </w:t>
            </w:r>
            <w:r w:rsidR="00B47F36">
              <w:rPr>
                <w:rFonts w:ascii="Trebuchet MS" w:hAnsi="Trebuchet MS"/>
                <w:sz w:val="20"/>
                <w:szCs w:val="20"/>
              </w:rPr>
              <w:t>the complainant’s local MP, although this is usually the case.</w:t>
            </w:r>
          </w:p>
          <w:p w14:paraId="539A3C7A" w14:textId="581BD244" w:rsidR="00B47F36" w:rsidRDefault="00B47F36" w:rsidP="0046216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C6E0E" w14:paraId="72B991C4" w14:textId="77777777" w:rsidTr="00D73047">
        <w:trPr>
          <w:trHeight w:val="1275"/>
        </w:trPr>
        <w:tc>
          <w:tcPr>
            <w:tcW w:w="1038" w:type="pct"/>
          </w:tcPr>
          <w:p w14:paraId="3961705E" w14:textId="267B5ECE" w:rsidR="00BC6E0E" w:rsidRDefault="00992BA7" w:rsidP="00216C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Is the complaint being made by someone other than the person affected?</w:t>
            </w:r>
          </w:p>
        </w:tc>
        <w:tc>
          <w:tcPr>
            <w:tcW w:w="1950" w:type="pct"/>
          </w:tcPr>
          <w:p w14:paraId="63EFF948" w14:textId="5FEF7BEF" w:rsidR="00D25C8D" w:rsidRDefault="00D25C8D" w:rsidP="004F0AD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Legislation says that the person </w:t>
            </w:r>
            <w:r w:rsidR="005632D5">
              <w:rPr>
                <w:rFonts w:ascii="Trebuchet MS" w:hAnsi="Trebuchet MS"/>
                <w:sz w:val="20"/>
                <w:szCs w:val="20"/>
              </w:rPr>
              <w:t>affected</w:t>
            </w:r>
            <w:r>
              <w:rPr>
                <w:rFonts w:ascii="Trebuchet MS" w:hAnsi="Trebuchet MS"/>
                <w:sz w:val="20"/>
                <w:szCs w:val="20"/>
              </w:rPr>
              <w:t xml:space="preserve"> must make the complaint </w:t>
            </w:r>
            <w:r w:rsidR="005632D5">
              <w:rPr>
                <w:rFonts w:ascii="Trebuchet MS" w:hAnsi="Trebuchet MS"/>
                <w:sz w:val="20"/>
                <w:szCs w:val="20"/>
              </w:rPr>
              <w:t>themselves</w:t>
            </w:r>
            <w:r>
              <w:rPr>
                <w:rFonts w:ascii="Trebuchet MS" w:hAnsi="Trebuchet MS"/>
                <w:sz w:val="20"/>
                <w:szCs w:val="20"/>
              </w:rPr>
              <w:t xml:space="preserve"> unless there is any reason they are unable to do so.  This is usually if they are de</w:t>
            </w:r>
            <w:r w:rsidR="00060C54">
              <w:rPr>
                <w:rFonts w:ascii="Trebuchet MS" w:hAnsi="Trebuchet MS"/>
                <w:sz w:val="20"/>
                <w:szCs w:val="20"/>
              </w:rPr>
              <w:t>ceased, or otherwise incapable of bringing the complaint themselves.</w:t>
            </w:r>
          </w:p>
          <w:p w14:paraId="607C8650" w14:textId="77777777" w:rsidR="00D25C8D" w:rsidRDefault="00D25C8D" w:rsidP="004F0AD0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805D8C5" w14:textId="77777777" w:rsidR="00BC6E0E" w:rsidRDefault="00CB1557" w:rsidP="004F0AD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 complainant can </w:t>
            </w:r>
            <w:r w:rsidR="005632D5">
              <w:rPr>
                <w:rFonts w:ascii="Trebuchet MS" w:hAnsi="Trebuchet MS"/>
                <w:sz w:val="20"/>
                <w:szCs w:val="20"/>
              </w:rPr>
              <w:t xml:space="preserve">also </w:t>
            </w:r>
            <w:r>
              <w:rPr>
                <w:rFonts w:ascii="Trebuchet MS" w:hAnsi="Trebuchet MS"/>
                <w:sz w:val="20"/>
                <w:szCs w:val="20"/>
              </w:rPr>
              <w:t>choose somebody to represent them</w:t>
            </w:r>
            <w:r w:rsidR="00501CFB">
              <w:rPr>
                <w:rFonts w:ascii="Trebuchet MS" w:hAnsi="Trebuchet MS"/>
                <w:sz w:val="20"/>
                <w:szCs w:val="20"/>
              </w:rPr>
              <w:t xml:space="preserve">, but there must be clear and express consent for that.  PHSO will also assess whether the representative is suitable to represent the complainant.   </w:t>
            </w:r>
            <w:r w:rsidR="0046216D"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  <w:p w14:paraId="14A45AB3" w14:textId="77777777" w:rsidR="007F0E83" w:rsidRDefault="007F0E83" w:rsidP="004F0AD0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A20A12F" w14:textId="00383A9B" w:rsidR="007F0E83" w:rsidRDefault="007F0E83" w:rsidP="004F0AD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12" w:type="pct"/>
          </w:tcPr>
          <w:p w14:paraId="00D47C84" w14:textId="306612AA" w:rsidR="00BC6E0E" w:rsidRDefault="00175FCC" w:rsidP="00216C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</w:t>
            </w:r>
            <w:r w:rsidR="000837DD">
              <w:rPr>
                <w:rFonts w:ascii="Trebuchet MS" w:hAnsi="Trebuchet MS"/>
                <w:sz w:val="20"/>
                <w:szCs w:val="20"/>
              </w:rPr>
              <w:t>here a representative is involved</w:t>
            </w:r>
            <w:r w:rsidR="009B75BD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="00B54454">
              <w:rPr>
                <w:rFonts w:ascii="Trebuchet MS" w:hAnsi="Trebuchet MS"/>
                <w:sz w:val="20"/>
                <w:szCs w:val="20"/>
              </w:rPr>
              <w:t>PHSO</w:t>
            </w:r>
            <w:r w:rsidR="007F7E2C">
              <w:rPr>
                <w:rFonts w:ascii="Trebuchet MS" w:hAnsi="Trebuchet MS"/>
                <w:sz w:val="20"/>
                <w:szCs w:val="20"/>
              </w:rPr>
              <w:t xml:space="preserve"> would also need to see</w:t>
            </w:r>
            <w:r w:rsidR="001A77A2">
              <w:rPr>
                <w:rFonts w:ascii="Trebuchet MS" w:hAnsi="Trebuchet MS"/>
                <w:sz w:val="20"/>
                <w:szCs w:val="20"/>
              </w:rPr>
              <w:t xml:space="preserve"> consent f</w:t>
            </w:r>
            <w:r w:rsidR="007F7E2C">
              <w:rPr>
                <w:rFonts w:ascii="Trebuchet MS" w:hAnsi="Trebuchet MS"/>
                <w:sz w:val="20"/>
                <w:szCs w:val="20"/>
              </w:rPr>
              <w:t>rom</w:t>
            </w:r>
            <w:r w:rsidR="001A77A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837DD">
              <w:rPr>
                <w:rFonts w:ascii="Trebuchet MS" w:hAnsi="Trebuchet MS"/>
                <w:sz w:val="20"/>
                <w:szCs w:val="20"/>
              </w:rPr>
              <w:t>the complainant</w:t>
            </w:r>
            <w:r w:rsidR="001A77A2">
              <w:rPr>
                <w:rFonts w:ascii="Trebuchet MS" w:hAnsi="Trebuchet MS"/>
                <w:sz w:val="20"/>
                <w:szCs w:val="20"/>
              </w:rPr>
              <w:t xml:space="preserve"> to refer his/her complaint to an MP</w:t>
            </w:r>
            <w:r w:rsidR="00801849">
              <w:rPr>
                <w:rFonts w:ascii="Trebuchet MS" w:hAnsi="Trebuchet MS"/>
                <w:sz w:val="20"/>
                <w:szCs w:val="20"/>
              </w:rPr>
              <w:t xml:space="preserve"> for the purposes of referring to PHSO</w:t>
            </w:r>
            <w:r w:rsidR="000837DD">
              <w:rPr>
                <w:rFonts w:ascii="Trebuchet MS" w:hAnsi="Trebuchet MS"/>
                <w:sz w:val="20"/>
                <w:szCs w:val="20"/>
              </w:rPr>
              <w:t xml:space="preserve">.  </w:t>
            </w:r>
          </w:p>
        </w:tc>
      </w:tr>
      <w:tr w:rsidR="00216C46" w14:paraId="14904EB2" w14:textId="77777777" w:rsidTr="00D73047">
        <w:tc>
          <w:tcPr>
            <w:tcW w:w="1038" w:type="pct"/>
          </w:tcPr>
          <w:p w14:paraId="67AB0BAE" w14:textId="0184D021" w:rsidR="00216C46" w:rsidRPr="00873F26" w:rsidRDefault="00826ADB" w:rsidP="00216C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 xml:space="preserve">Has the complaint been through the </w:t>
            </w:r>
            <w:r w:rsidR="0091293E">
              <w:rPr>
                <w:rFonts w:ascii="Trebuchet MS" w:hAnsi="Trebuchet MS"/>
                <w:sz w:val="20"/>
                <w:szCs w:val="20"/>
              </w:rPr>
              <w:t>organisation’s</w:t>
            </w:r>
            <w:r>
              <w:rPr>
                <w:rFonts w:ascii="Trebuchet MS" w:hAnsi="Trebuchet MS"/>
                <w:sz w:val="20"/>
                <w:szCs w:val="20"/>
              </w:rPr>
              <w:t xml:space="preserve"> own complaints process already?</w:t>
            </w:r>
          </w:p>
        </w:tc>
        <w:tc>
          <w:tcPr>
            <w:tcW w:w="1950" w:type="pct"/>
          </w:tcPr>
          <w:p w14:paraId="6D6FD907" w14:textId="178782A3" w:rsidR="00020CBD" w:rsidRDefault="00894005" w:rsidP="00020CB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Overall, PHSO would </w:t>
            </w:r>
            <w:r w:rsidR="00175FCC">
              <w:rPr>
                <w:rFonts w:ascii="Trebuchet MS" w:hAnsi="Trebuchet MS"/>
                <w:sz w:val="20"/>
                <w:szCs w:val="20"/>
              </w:rPr>
              <w:t>need to see that</w:t>
            </w:r>
            <w:r>
              <w:rPr>
                <w:rFonts w:ascii="Trebuchet MS" w:hAnsi="Trebuchet MS"/>
                <w:sz w:val="20"/>
                <w:szCs w:val="20"/>
              </w:rPr>
              <w:t xml:space="preserve"> the organisation to be aware of the </w:t>
            </w:r>
            <w:r w:rsidR="00175FCC">
              <w:rPr>
                <w:rFonts w:ascii="Trebuchet MS" w:hAnsi="Trebuchet MS"/>
                <w:sz w:val="20"/>
                <w:szCs w:val="20"/>
              </w:rPr>
              <w:t>complaint and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have the opportunity to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formally respond/resolve the cases.  </w:t>
            </w:r>
          </w:p>
          <w:p w14:paraId="6A7FC03D" w14:textId="77777777" w:rsidR="00020CBD" w:rsidRDefault="00020CBD" w:rsidP="00020C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4B5D1D6" w14:textId="76E5D741" w:rsidR="00020CBD" w:rsidRDefault="00020CBD" w:rsidP="00020CB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PHSO has discretion to look at a case if local process has not been used or exhausted if:</w:t>
            </w:r>
          </w:p>
          <w:p w14:paraId="4E3FC134" w14:textId="77777777" w:rsidR="00020CBD" w:rsidRPr="00BC79D7" w:rsidRDefault="00020CBD" w:rsidP="00020C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EE3C626" w14:textId="40C225A1" w:rsidR="00020CBD" w:rsidRDefault="00020CBD" w:rsidP="00020CBD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PHSO believes it was not reasonable to expect the complainant to do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so;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03358CFB" w14:textId="2B353D31" w:rsidR="00020CBD" w:rsidRDefault="00020CBD" w:rsidP="00020CBD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PHSO is satisfied that the local process has come to an end</w:t>
            </w:r>
            <w:r w:rsidR="001075ED">
              <w:rPr>
                <w:rFonts w:ascii="Trebuchet MS" w:hAnsi="Trebuchet MS"/>
                <w:sz w:val="20"/>
                <w:szCs w:val="20"/>
              </w:rPr>
              <w:t>; or</w:t>
            </w:r>
          </w:p>
          <w:p w14:paraId="34793A0C" w14:textId="13D193DF" w:rsidR="001075ED" w:rsidRPr="000C69A3" w:rsidRDefault="001075ED" w:rsidP="00020CBD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There is an exceptional reason (see right)</w:t>
            </w:r>
          </w:p>
          <w:p w14:paraId="562C51A4" w14:textId="77777777" w:rsidR="00216C46" w:rsidRDefault="00216C46" w:rsidP="00216C4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7EBEE60" w14:textId="139BE63B" w:rsidR="00F649C6" w:rsidRPr="00873F26" w:rsidRDefault="00F649C6" w:rsidP="00216C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For UKC</w:t>
            </w:r>
            <w:r w:rsidR="00F61E1E">
              <w:rPr>
                <w:rFonts w:ascii="Trebuchet MS" w:hAnsi="Trebuchet MS"/>
                <w:sz w:val="20"/>
                <w:szCs w:val="20"/>
              </w:rPr>
              <w:t xml:space="preserve">G complaints, this would include any independent tier stages </w:t>
            </w:r>
            <w:r w:rsidR="001075ED">
              <w:rPr>
                <w:rFonts w:ascii="Trebuchet MS" w:hAnsi="Trebuchet MS"/>
                <w:sz w:val="20"/>
                <w:szCs w:val="20"/>
              </w:rPr>
              <w:t xml:space="preserve">the organisation has in place.  </w:t>
            </w:r>
          </w:p>
        </w:tc>
        <w:tc>
          <w:tcPr>
            <w:tcW w:w="2012" w:type="pct"/>
          </w:tcPr>
          <w:p w14:paraId="143328A5" w14:textId="59DE52B5" w:rsidR="00020CBD" w:rsidRDefault="00020CBD" w:rsidP="00020CB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PHSO </w:t>
            </w:r>
            <w:r w:rsidR="00451F23">
              <w:rPr>
                <w:rFonts w:ascii="Trebuchet MS" w:hAnsi="Trebuchet MS"/>
                <w:sz w:val="20"/>
                <w:szCs w:val="20"/>
              </w:rPr>
              <w:t xml:space="preserve">may </w:t>
            </w:r>
            <w:r>
              <w:rPr>
                <w:rFonts w:ascii="Trebuchet MS" w:hAnsi="Trebuchet MS"/>
                <w:sz w:val="20"/>
                <w:szCs w:val="20"/>
              </w:rPr>
              <w:t>look at whether there are exceptional circumstances.  Th</w:t>
            </w:r>
            <w:r w:rsidR="008B39DC">
              <w:rPr>
                <w:rFonts w:ascii="Trebuchet MS" w:hAnsi="Trebuchet MS"/>
                <w:sz w:val="20"/>
                <w:szCs w:val="20"/>
              </w:rPr>
              <w:t xml:space="preserve">ese </w:t>
            </w:r>
            <w:r w:rsidR="00693A35">
              <w:rPr>
                <w:rFonts w:ascii="Trebuchet MS" w:hAnsi="Trebuchet MS"/>
                <w:sz w:val="20"/>
                <w:szCs w:val="20"/>
              </w:rPr>
              <w:t>could</w:t>
            </w:r>
            <w:r w:rsidR="008B39DC">
              <w:rPr>
                <w:rFonts w:ascii="Trebuchet MS" w:hAnsi="Trebuchet MS"/>
                <w:sz w:val="20"/>
                <w:szCs w:val="20"/>
              </w:rPr>
              <w:t xml:space="preserve"> cover (but are not limited to) the following:</w:t>
            </w:r>
          </w:p>
          <w:p w14:paraId="00986466" w14:textId="77777777" w:rsidR="008B39DC" w:rsidRDefault="008B39DC" w:rsidP="00020C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A665135" w14:textId="39237671" w:rsidR="008B39DC" w:rsidRDefault="008B39DC" w:rsidP="008B39DC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Complainant is suffering particular difficulties</w:t>
            </w:r>
            <w:r w:rsidR="00960D63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73047">
              <w:rPr>
                <w:rFonts w:ascii="Trebuchet MS" w:hAnsi="Trebuchet MS"/>
                <w:sz w:val="20"/>
                <w:szCs w:val="20"/>
              </w:rPr>
              <w:t xml:space="preserve">that may be </w:t>
            </w:r>
            <w:r w:rsidR="00960D63">
              <w:rPr>
                <w:rFonts w:ascii="Trebuchet MS" w:hAnsi="Trebuchet MS"/>
                <w:sz w:val="20"/>
                <w:szCs w:val="20"/>
              </w:rPr>
              <w:t>linked to the issue in question (</w:t>
            </w:r>
            <w:proofErr w:type="gramStart"/>
            <w:r w:rsidR="00960D63">
              <w:rPr>
                <w:rFonts w:ascii="Trebuchet MS" w:hAnsi="Trebuchet MS"/>
                <w:sz w:val="20"/>
                <w:szCs w:val="20"/>
              </w:rPr>
              <w:t>e.g.</w:t>
            </w:r>
            <w:proofErr w:type="gramEnd"/>
            <w:r w:rsidR="00960D63">
              <w:rPr>
                <w:rFonts w:ascii="Trebuchet MS" w:hAnsi="Trebuchet MS"/>
                <w:sz w:val="20"/>
                <w:szCs w:val="20"/>
              </w:rPr>
              <w:t xml:space="preserve"> extreme hardship) </w:t>
            </w:r>
          </w:p>
          <w:p w14:paraId="4A7C6EBE" w14:textId="77777777" w:rsidR="008B39DC" w:rsidRDefault="008B39DC" w:rsidP="008B39DC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There is a time specific issue (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e.g.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terminal illness);</w:t>
            </w:r>
          </w:p>
          <w:p w14:paraId="7424A7D9" w14:textId="24329C02" w:rsidR="008B39DC" w:rsidRDefault="008B39DC" w:rsidP="00230824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It is clear the relationship between complainant and organisation has broken down completely.  </w:t>
            </w:r>
          </w:p>
          <w:p w14:paraId="4497C3A8" w14:textId="20185B89" w:rsidR="00C015CE" w:rsidRDefault="00C015CE" w:rsidP="00C015C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17C4E5D" w14:textId="112613DD" w:rsidR="00C015CE" w:rsidRDefault="00C015CE" w:rsidP="00C015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PHSO </w:t>
            </w:r>
            <w:r w:rsidR="00693A35">
              <w:rPr>
                <w:rFonts w:ascii="Trebuchet MS" w:hAnsi="Trebuchet MS"/>
                <w:sz w:val="20"/>
                <w:szCs w:val="20"/>
              </w:rPr>
              <w:t>may</w:t>
            </w:r>
            <w:r>
              <w:rPr>
                <w:rFonts w:ascii="Trebuchet MS" w:hAnsi="Trebuchet MS"/>
                <w:sz w:val="20"/>
                <w:szCs w:val="20"/>
              </w:rPr>
              <w:t xml:space="preserve"> also </w:t>
            </w:r>
            <w:r w:rsidR="00F9464B">
              <w:rPr>
                <w:rFonts w:ascii="Trebuchet MS" w:hAnsi="Trebuchet MS"/>
                <w:sz w:val="20"/>
                <w:szCs w:val="20"/>
              </w:rPr>
              <w:t xml:space="preserve">decide to </w:t>
            </w:r>
            <w:r w:rsidR="0091293E">
              <w:rPr>
                <w:rFonts w:ascii="Trebuchet MS" w:hAnsi="Trebuchet MS"/>
                <w:sz w:val="20"/>
                <w:szCs w:val="20"/>
              </w:rPr>
              <w:t xml:space="preserve">use its discretion to look </w:t>
            </w:r>
            <w:r>
              <w:rPr>
                <w:rFonts w:ascii="Trebuchet MS" w:hAnsi="Trebuchet MS"/>
                <w:sz w:val="20"/>
                <w:szCs w:val="20"/>
              </w:rPr>
              <w:t>further at a case if:</w:t>
            </w:r>
          </w:p>
          <w:p w14:paraId="7C3DDFB2" w14:textId="6CBBA67F" w:rsidR="00C015CE" w:rsidRDefault="00C015CE" w:rsidP="00C015C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5EF59A2" w14:textId="3726CAB9" w:rsidR="00C015CE" w:rsidRDefault="00C015CE" w:rsidP="00C015C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case relates to an issue PHSO considers could relate to a wider/systemic issue and where PHSO believes its work could add value for a larger group of people; and/or</w:t>
            </w:r>
          </w:p>
          <w:p w14:paraId="21249C63" w14:textId="224C4493" w:rsidR="00230824" w:rsidRPr="00230824" w:rsidRDefault="00C015CE" w:rsidP="00D80112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The </w:t>
            </w:r>
            <w:r w:rsidR="00D80112">
              <w:rPr>
                <w:rFonts w:ascii="Trebuchet MS" w:hAnsi="Trebuchet MS"/>
                <w:sz w:val="20"/>
                <w:szCs w:val="20"/>
              </w:rPr>
              <w:t>issues raise significant or serious issues.</w:t>
            </w:r>
          </w:p>
        </w:tc>
      </w:tr>
      <w:tr w:rsidR="00D73047" w14:paraId="27F1AA0C" w14:textId="77777777" w:rsidTr="00D73047">
        <w:tc>
          <w:tcPr>
            <w:tcW w:w="5000" w:type="pct"/>
            <w:gridSpan w:val="3"/>
          </w:tcPr>
          <w:p w14:paraId="1657234B" w14:textId="5F19ACD8" w:rsidR="00D73047" w:rsidRPr="00D73047" w:rsidRDefault="00D73047" w:rsidP="00216C46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D73047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Step 2 </w:t>
            </w:r>
          </w:p>
        </w:tc>
      </w:tr>
      <w:tr w:rsidR="00216C46" w14:paraId="7033C02B" w14:textId="77777777" w:rsidTr="00D73047">
        <w:tc>
          <w:tcPr>
            <w:tcW w:w="1038" w:type="pct"/>
          </w:tcPr>
          <w:p w14:paraId="7D1551DE" w14:textId="1FCC288A" w:rsidR="00216C46" w:rsidRPr="00873F26" w:rsidRDefault="002568CD" w:rsidP="00216C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Has the complaint been made ‘in time’?</w:t>
            </w:r>
          </w:p>
        </w:tc>
        <w:tc>
          <w:tcPr>
            <w:tcW w:w="1950" w:type="pct"/>
          </w:tcPr>
          <w:p w14:paraId="2243BE0A" w14:textId="6A2C4BF6" w:rsidR="00B246BE" w:rsidRDefault="00B246BE" w:rsidP="00216C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Under PHSO legislation, </w:t>
            </w:r>
            <w:r w:rsidR="00175FCC">
              <w:rPr>
                <w:rFonts w:ascii="Trebuchet MS" w:hAnsi="Trebuchet MS"/>
                <w:sz w:val="20"/>
                <w:szCs w:val="20"/>
              </w:rPr>
              <w:t xml:space="preserve">for health complaints, </w:t>
            </w:r>
            <w:r>
              <w:rPr>
                <w:rFonts w:ascii="Trebuchet MS" w:hAnsi="Trebuchet MS"/>
                <w:sz w:val="20"/>
                <w:szCs w:val="20"/>
              </w:rPr>
              <w:t xml:space="preserve">complainants must refer their complaint to PHSO within one year from the day they first became aware of the reason to complain.   </w:t>
            </w:r>
          </w:p>
          <w:p w14:paraId="3AF36E4C" w14:textId="77777777" w:rsidR="00B246BE" w:rsidRDefault="00B246BE" w:rsidP="00216C4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ADA82BC" w14:textId="66B2FE07" w:rsidR="00216C46" w:rsidRDefault="00B246BE" w:rsidP="00216C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For UKCG complaints, complainants must refer the matter to an MP within one year from the day they first became aware.</w:t>
            </w:r>
          </w:p>
          <w:p w14:paraId="7BC8524B" w14:textId="4F09FBD5" w:rsidR="00F40F41" w:rsidRDefault="00F40F41" w:rsidP="00216C4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D0F0C7F" w14:textId="3872A518" w:rsidR="00F40F41" w:rsidRDefault="00F40F41" w:rsidP="00216C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PHSO can use discretion </w:t>
            </w:r>
            <w:r w:rsidR="00662D87">
              <w:rPr>
                <w:rFonts w:ascii="Trebuchet MS" w:hAnsi="Trebuchet MS"/>
                <w:sz w:val="20"/>
                <w:szCs w:val="20"/>
              </w:rPr>
              <w:t xml:space="preserve">if it sees reasonable </w:t>
            </w:r>
            <w:r w:rsidR="00CD0B25">
              <w:rPr>
                <w:rFonts w:ascii="Trebuchet MS" w:hAnsi="Trebuchet MS"/>
                <w:sz w:val="20"/>
                <w:szCs w:val="20"/>
              </w:rPr>
              <w:t xml:space="preserve">cause </w:t>
            </w:r>
            <w:r w:rsidR="00662D87">
              <w:rPr>
                <w:rFonts w:ascii="Trebuchet MS" w:hAnsi="Trebuchet MS"/>
                <w:sz w:val="20"/>
                <w:szCs w:val="20"/>
              </w:rPr>
              <w:t xml:space="preserve">for why the complainant did not refer their complaint within one year.  </w:t>
            </w:r>
          </w:p>
          <w:p w14:paraId="5A9194F8" w14:textId="77777777" w:rsidR="00B246BE" w:rsidRDefault="00B246BE" w:rsidP="00216C4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5F2A4BD" w14:textId="2BD6629B" w:rsidR="00B246BE" w:rsidRPr="00873F26" w:rsidRDefault="00B246BE" w:rsidP="00216C4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12" w:type="pct"/>
          </w:tcPr>
          <w:p w14:paraId="7C1E6D22" w14:textId="16396E7D" w:rsidR="00216C46" w:rsidRDefault="004B67DC" w:rsidP="00216C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PHSO recognise</w:t>
            </w:r>
            <w:r w:rsidR="00F9464B">
              <w:rPr>
                <w:rFonts w:ascii="Trebuchet MS" w:hAnsi="Trebuchet MS"/>
                <w:sz w:val="20"/>
                <w:szCs w:val="20"/>
              </w:rPr>
              <w:t>s</w:t>
            </w:r>
            <w:r>
              <w:rPr>
                <w:rFonts w:ascii="Trebuchet MS" w:hAnsi="Trebuchet MS"/>
                <w:sz w:val="20"/>
                <w:szCs w:val="20"/>
              </w:rPr>
              <w:t xml:space="preserve"> that, on occasion, the date the complainant became aware of the reason to complain is not always the same as the date the incident occurred.  </w:t>
            </w:r>
          </w:p>
          <w:p w14:paraId="5DBB4518" w14:textId="77777777" w:rsidR="004B67DC" w:rsidRDefault="004B67DC" w:rsidP="00216C4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C2A11FB" w14:textId="79DA6A75" w:rsidR="004B67DC" w:rsidRDefault="004B67DC" w:rsidP="00216C4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4C6AA2B" w14:textId="77777777" w:rsidR="00322833" w:rsidRDefault="00322833" w:rsidP="00216C4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240F2C0" w14:textId="0650734A" w:rsidR="00BD1F89" w:rsidRDefault="00322833" w:rsidP="00BD1F8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PHSO will look at the reasons for any delay on a case</w:t>
            </w:r>
            <w:r w:rsidR="00F32F37">
              <w:rPr>
                <w:rFonts w:ascii="Trebuchet MS" w:hAnsi="Trebuchet MS"/>
                <w:sz w:val="20"/>
                <w:szCs w:val="20"/>
              </w:rPr>
              <w:t>-by-case basis.</w:t>
            </w:r>
            <w:r w:rsidR="00BD1F89">
              <w:rPr>
                <w:rFonts w:ascii="Trebuchet MS" w:hAnsi="Trebuchet MS"/>
                <w:sz w:val="20"/>
                <w:szCs w:val="20"/>
              </w:rPr>
              <w:t xml:space="preserve">  This can include how long it has taken for the organisation to respond locally</w:t>
            </w:r>
            <w:r w:rsidR="00451F23">
              <w:rPr>
                <w:rFonts w:ascii="Trebuchet MS" w:hAnsi="Trebuchet MS"/>
                <w:sz w:val="20"/>
                <w:szCs w:val="20"/>
              </w:rPr>
              <w:t>, as well as any ex</w:t>
            </w:r>
            <w:r w:rsidR="00F9464B">
              <w:rPr>
                <w:rFonts w:ascii="Trebuchet MS" w:hAnsi="Trebuchet MS"/>
                <w:sz w:val="20"/>
                <w:szCs w:val="20"/>
              </w:rPr>
              <w:t>ceptional circumstances.</w:t>
            </w:r>
          </w:p>
          <w:p w14:paraId="38A6C080" w14:textId="52422E5E" w:rsidR="00B63F60" w:rsidRPr="00BD1F89" w:rsidRDefault="00B63F60" w:rsidP="00BD1F8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16C46" w14:paraId="0A609566" w14:textId="77777777" w:rsidTr="00D73047">
        <w:tc>
          <w:tcPr>
            <w:tcW w:w="1038" w:type="pct"/>
          </w:tcPr>
          <w:p w14:paraId="0C603161" w14:textId="3BA6D591" w:rsidR="00216C46" w:rsidRPr="00873F26" w:rsidRDefault="008D4A5C" w:rsidP="00216C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Does the complainant have an alternative legal route?</w:t>
            </w:r>
          </w:p>
        </w:tc>
        <w:tc>
          <w:tcPr>
            <w:tcW w:w="1950" w:type="pct"/>
          </w:tcPr>
          <w:p w14:paraId="78E7209F" w14:textId="77777777" w:rsidR="00216C46" w:rsidRDefault="008D4A5C" w:rsidP="00216C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Under legislation, PHSO cannot investigate if there is or was a legal remedy that the complainant could </w:t>
            </w:r>
            <w:r w:rsidR="00116B7B">
              <w:rPr>
                <w:rFonts w:ascii="Trebuchet MS" w:hAnsi="Trebuchet MS"/>
                <w:sz w:val="20"/>
                <w:szCs w:val="20"/>
              </w:rPr>
              <w:t xml:space="preserve">take (or </w:t>
            </w:r>
            <w:r w:rsidR="00116B7B">
              <w:rPr>
                <w:rFonts w:ascii="Trebuchet MS" w:hAnsi="Trebuchet MS"/>
                <w:sz w:val="20"/>
                <w:szCs w:val="20"/>
              </w:rPr>
              <w:lastRenderedPageBreak/>
              <w:t>could have taken), unless it is (or was) not reasonable for them to do so.</w:t>
            </w:r>
          </w:p>
          <w:p w14:paraId="5C9E17B0" w14:textId="77777777" w:rsidR="00116B7B" w:rsidRDefault="00116B7B" w:rsidP="00216C4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152FE2C" w14:textId="68A467EF" w:rsidR="00116B7B" w:rsidRPr="00873F26" w:rsidRDefault="00116B7B" w:rsidP="00216C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Legal remedies can include established methods for challenging a decision</w:t>
            </w:r>
            <w:r w:rsidR="008273EA">
              <w:rPr>
                <w:rFonts w:ascii="Trebuchet MS" w:hAnsi="Trebuchet MS"/>
                <w:sz w:val="20"/>
                <w:szCs w:val="20"/>
              </w:rPr>
              <w:t xml:space="preserve"> (including Judicial Review).</w:t>
            </w:r>
          </w:p>
        </w:tc>
        <w:tc>
          <w:tcPr>
            <w:tcW w:w="2012" w:type="pct"/>
          </w:tcPr>
          <w:p w14:paraId="65E91FFD" w14:textId="031A77C6" w:rsidR="00216C46" w:rsidRDefault="00056D8D" w:rsidP="00216C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 xml:space="preserve">PHSO will seek information about </w:t>
            </w:r>
            <w:r w:rsidR="009C0F6A">
              <w:rPr>
                <w:rFonts w:ascii="Trebuchet MS" w:hAnsi="Trebuchet MS"/>
                <w:sz w:val="20"/>
                <w:szCs w:val="20"/>
              </w:rPr>
              <w:t xml:space="preserve">the issues in hand </w:t>
            </w:r>
            <w:proofErr w:type="gramStart"/>
            <w:r w:rsidR="00DE0390">
              <w:rPr>
                <w:rFonts w:ascii="Trebuchet MS" w:hAnsi="Trebuchet MS"/>
                <w:sz w:val="20"/>
                <w:szCs w:val="20"/>
              </w:rPr>
              <w:t>in order to</w:t>
            </w:r>
            <w:proofErr w:type="gramEnd"/>
            <w:r w:rsidR="00DE0390">
              <w:rPr>
                <w:rFonts w:ascii="Trebuchet MS" w:hAnsi="Trebuchet MS"/>
                <w:sz w:val="20"/>
                <w:szCs w:val="20"/>
              </w:rPr>
              <w:t xml:space="preserve"> examine whether </w:t>
            </w:r>
            <w:r w:rsidR="005B5106">
              <w:rPr>
                <w:rFonts w:ascii="Trebuchet MS" w:hAnsi="Trebuchet MS"/>
                <w:sz w:val="20"/>
                <w:szCs w:val="20"/>
              </w:rPr>
              <w:t xml:space="preserve">a remedy to </w:t>
            </w:r>
            <w:r w:rsidR="00DE0390">
              <w:rPr>
                <w:rFonts w:ascii="Trebuchet MS" w:hAnsi="Trebuchet MS"/>
                <w:sz w:val="20"/>
                <w:szCs w:val="20"/>
              </w:rPr>
              <w:t>this could be achieved via a legal route.</w:t>
            </w:r>
            <w:r w:rsidR="00ED2174"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  <w:p w14:paraId="50D9DB89" w14:textId="50C7F81A" w:rsidR="009C0F6A" w:rsidRDefault="009C0F6A" w:rsidP="00216C4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285D56A" w14:textId="77777777" w:rsidR="009C0F6A" w:rsidRDefault="009C0F6A" w:rsidP="00216C4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7A0D81A" w14:textId="77777777" w:rsidR="00DE0390" w:rsidRDefault="00DE0390" w:rsidP="00216C4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7EDD711" w14:textId="3B7D0E78" w:rsidR="00DE0390" w:rsidRPr="00873F26" w:rsidRDefault="00DE0390" w:rsidP="00216C4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11BC1" w14:paraId="42B54347" w14:textId="77777777" w:rsidTr="00D73047">
        <w:tc>
          <w:tcPr>
            <w:tcW w:w="1038" w:type="pct"/>
          </w:tcPr>
          <w:p w14:paraId="2A742F7F" w14:textId="77777777" w:rsidR="00911BC1" w:rsidRDefault="00F12353" w:rsidP="00216C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 xml:space="preserve">Are there indications that </w:t>
            </w:r>
            <w:r w:rsidR="00FF732E">
              <w:rPr>
                <w:rFonts w:ascii="Trebuchet MS" w:hAnsi="Trebuchet MS"/>
                <w:sz w:val="20"/>
                <w:szCs w:val="20"/>
              </w:rPr>
              <w:t>poor administration or service failure has occurred?</w:t>
            </w:r>
          </w:p>
          <w:p w14:paraId="5BA088F1" w14:textId="77777777" w:rsidR="00424426" w:rsidRDefault="00424426" w:rsidP="00216C4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7E2C249" w14:textId="6BE51FEF" w:rsidR="00424426" w:rsidRDefault="00424426" w:rsidP="00216C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Has that potentially led to </w:t>
            </w:r>
            <w:r w:rsidR="00FD4CBC">
              <w:rPr>
                <w:rFonts w:ascii="Trebuchet MS" w:hAnsi="Trebuchet MS"/>
                <w:sz w:val="20"/>
                <w:szCs w:val="20"/>
              </w:rPr>
              <w:t xml:space="preserve">a negative impact for </w:t>
            </w:r>
            <w:r>
              <w:rPr>
                <w:rFonts w:ascii="Trebuchet MS" w:hAnsi="Trebuchet MS"/>
                <w:sz w:val="20"/>
                <w:szCs w:val="20"/>
              </w:rPr>
              <w:t xml:space="preserve">the </w:t>
            </w:r>
            <w:r w:rsidR="00FD4CBC">
              <w:rPr>
                <w:rFonts w:ascii="Trebuchet MS" w:hAnsi="Trebuchet MS"/>
                <w:sz w:val="20"/>
                <w:szCs w:val="20"/>
              </w:rPr>
              <w:t>person affected</w:t>
            </w:r>
            <w:r w:rsidR="002E1619">
              <w:rPr>
                <w:rFonts w:ascii="Trebuchet MS" w:hAnsi="Trebuchet MS"/>
                <w:sz w:val="20"/>
                <w:szCs w:val="20"/>
              </w:rPr>
              <w:t xml:space="preserve">, which </w:t>
            </w:r>
            <w:r w:rsidR="003A5801">
              <w:rPr>
                <w:rFonts w:ascii="Trebuchet MS" w:hAnsi="Trebuchet MS"/>
                <w:sz w:val="20"/>
                <w:szCs w:val="20"/>
              </w:rPr>
              <w:t xml:space="preserve">has </w:t>
            </w:r>
            <w:r w:rsidR="002E1619">
              <w:rPr>
                <w:rFonts w:ascii="Trebuchet MS" w:hAnsi="Trebuchet MS"/>
                <w:sz w:val="20"/>
                <w:szCs w:val="20"/>
              </w:rPr>
              <w:t xml:space="preserve">not yet been put right?  </w:t>
            </w:r>
          </w:p>
        </w:tc>
        <w:tc>
          <w:tcPr>
            <w:tcW w:w="1950" w:type="pct"/>
          </w:tcPr>
          <w:p w14:paraId="20CD2FED" w14:textId="03C3F98A" w:rsidR="00911BC1" w:rsidRDefault="00FF732E" w:rsidP="00216C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There is no definition of maladministration or service failure</w:t>
            </w:r>
            <w:r w:rsidR="005618EA">
              <w:rPr>
                <w:rFonts w:ascii="Trebuchet MS" w:hAnsi="Trebuchet MS"/>
                <w:sz w:val="20"/>
                <w:szCs w:val="20"/>
              </w:rPr>
              <w:t xml:space="preserve">.  PHSO’s Principles of Good Administration highlight the general expectations for public service organisations within PHSO’s </w:t>
            </w:r>
            <w:r w:rsidR="007C6BBD">
              <w:rPr>
                <w:rFonts w:ascii="Trebuchet MS" w:hAnsi="Trebuchet MS"/>
                <w:sz w:val="20"/>
                <w:szCs w:val="20"/>
              </w:rPr>
              <w:t xml:space="preserve">remit.  </w:t>
            </w:r>
          </w:p>
          <w:p w14:paraId="1048CA40" w14:textId="21A79B31" w:rsidR="00C04669" w:rsidRDefault="00C04669" w:rsidP="00216C4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5F97840" w14:textId="6D6AEBA7" w:rsidR="00C04669" w:rsidRDefault="00C04669" w:rsidP="00216C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PHSO will normally look at what happened </w:t>
            </w:r>
            <w:r w:rsidR="003A5801">
              <w:rPr>
                <w:rFonts w:ascii="Trebuchet MS" w:hAnsi="Trebuchet MS"/>
                <w:sz w:val="20"/>
                <w:szCs w:val="20"/>
              </w:rPr>
              <w:t>compared with</w:t>
            </w:r>
            <w:r>
              <w:rPr>
                <w:rFonts w:ascii="Trebuchet MS" w:hAnsi="Trebuchet MS"/>
                <w:sz w:val="20"/>
                <w:szCs w:val="20"/>
              </w:rPr>
              <w:t xml:space="preserve"> what should have happened, using any relevant standards </w:t>
            </w:r>
            <w:r w:rsidR="00C61521">
              <w:rPr>
                <w:rFonts w:ascii="Trebuchet MS" w:hAnsi="Trebuchet MS"/>
                <w:sz w:val="20"/>
                <w:szCs w:val="20"/>
              </w:rPr>
              <w:t xml:space="preserve">to determine that.  </w:t>
            </w:r>
          </w:p>
          <w:p w14:paraId="7324A97C" w14:textId="77777777" w:rsidR="007C6BBD" w:rsidRDefault="007C6BBD" w:rsidP="00216C4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1445E49" w14:textId="7AB454C3" w:rsidR="007C6BBD" w:rsidRDefault="007C6BBD" w:rsidP="00216C4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12" w:type="pct"/>
          </w:tcPr>
          <w:p w14:paraId="39F972DA" w14:textId="4685B2A4" w:rsidR="00FD4CBC" w:rsidRDefault="007C6BBD" w:rsidP="00216C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PHSO will need to see </w:t>
            </w:r>
            <w:r w:rsidR="00424426">
              <w:rPr>
                <w:rFonts w:ascii="Trebuchet MS" w:hAnsi="Trebuchet MS"/>
                <w:sz w:val="20"/>
                <w:szCs w:val="20"/>
              </w:rPr>
              <w:t>indications that there is a potential fault or service failure.</w:t>
            </w:r>
          </w:p>
          <w:p w14:paraId="75BC3C12" w14:textId="77777777" w:rsidR="00FD4CBC" w:rsidRDefault="00FD4CBC" w:rsidP="00216C4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72C6555" w14:textId="7280D60E" w:rsidR="008E26B3" w:rsidRDefault="00FD4CBC" w:rsidP="00216C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PHSO will also consider whether and potential fault, mistake or service failure </w:t>
            </w:r>
            <w:r w:rsidR="008E26B3">
              <w:rPr>
                <w:rFonts w:ascii="Trebuchet MS" w:hAnsi="Trebuchet MS"/>
                <w:sz w:val="20"/>
                <w:szCs w:val="20"/>
              </w:rPr>
              <w:t xml:space="preserve">has led to a negative impact on the individual, which has not yet been put right.  </w:t>
            </w:r>
          </w:p>
          <w:p w14:paraId="7BB70B82" w14:textId="6CB7B7F0" w:rsidR="002B5920" w:rsidRDefault="002B5920" w:rsidP="00216C4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D982F68" w14:textId="77777777" w:rsidR="008E26B3" w:rsidRDefault="008E26B3" w:rsidP="00216C4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6E1E259" w14:textId="1D3822B5" w:rsidR="00911BC1" w:rsidRDefault="00424426" w:rsidP="00216C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</w:tc>
      </w:tr>
      <w:tr w:rsidR="00C20639" w14:paraId="68D14728" w14:textId="77777777" w:rsidTr="00D73047">
        <w:tc>
          <w:tcPr>
            <w:tcW w:w="1038" w:type="pct"/>
          </w:tcPr>
          <w:p w14:paraId="758F95AF" w14:textId="7607BBC1" w:rsidR="00C20639" w:rsidRDefault="00C20639" w:rsidP="00216C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Other factors to consider</w:t>
            </w:r>
          </w:p>
        </w:tc>
        <w:tc>
          <w:tcPr>
            <w:tcW w:w="1950" w:type="pct"/>
          </w:tcPr>
          <w:p w14:paraId="51247646" w14:textId="3DA0637F" w:rsidR="00C20639" w:rsidRDefault="00C20639" w:rsidP="00216C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PHSO will also look at whether:</w:t>
            </w:r>
          </w:p>
          <w:p w14:paraId="16B88D08" w14:textId="77777777" w:rsidR="00C20639" w:rsidRDefault="00C20639" w:rsidP="00216C4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3D5DE8C" w14:textId="4676EADA" w:rsidR="00C20639" w:rsidRDefault="00C20639" w:rsidP="00C2063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The outcome sought </w:t>
            </w:r>
            <w:r w:rsidR="00C42CF6">
              <w:rPr>
                <w:rFonts w:ascii="Trebuchet MS" w:hAnsi="Trebuchet MS"/>
                <w:sz w:val="20"/>
                <w:szCs w:val="20"/>
              </w:rPr>
              <w:t xml:space="preserve">by the complainant </w:t>
            </w:r>
            <w:r>
              <w:rPr>
                <w:rFonts w:ascii="Trebuchet MS" w:hAnsi="Trebuchet MS"/>
                <w:sz w:val="20"/>
                <w:szCs w:val="20"/>
              </w:rPr>
              <w:t xml:space="preserve">is not </w:t>
            </w:r>
            <w:r w:rsidR="00175FCC">
              <w:rPr>
                <w:rFonts w:ascii="Trebuchet MS" w:hAnsi="Trebuchet MS"/>
                <w:sz w:val="20"/>
                <w:szCs w:val="20"/>
              </w:rPr>
              <w:t xml:space="preserve">reasonable or achievable </w:t>
            </w:r>
          </w:p>
          <w:p w14:paraId="42FDCADA" w14:textId="42697402" w:rsidR="00C20639" w:rsidRDefault="00C20639" w:rsidP="00C2063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If an investigation would not be practical (for example it would not be able to reach a satisfactory conclusion)</w:t>
            </w:r>
          </w:p>
          <w:p w14:paraId="6294514F" w14:textId="629CA142" w:rsidR="002E631B" w:rsidRDefault="002E631B" w:rsidP="00C2063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Another organisation is considering the same issues (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e.g.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coroners cour</w:t>
            </w:r>
            <w:r w:rsidR="00C04669">
              <w:rPr>
                <w:rFonts w:ascii="Trebuchet MS" w:hAnsi="Trebuchet MS"/>
                <w:sz w:val="20"/>
                <w:szCs w:val="20"/>
              </w:rPr>
              <w:t>t)</w:t>
            </w:r>
          </w:p>
          <w:p w14:paraId="206E5E00" w14:textId="0E64760E" w:rsidR="00C20639" w:rsidRPr="00C20639" w:rsidRDefault="000E5368" w:rsidP="00C2063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the </w:t>
            </w:r>
            <w:r w:rsidR="00C67633">
              <w:rPr>
                <w:rFonts w:ascii="Trebuchet MS" w:hAnsi="Trebuchet MS"/>
                <w:sz w:val="20"/>
                <w:szCs w:val="20"/>
              </w:rPr>
              <w:t xml:space="preserve">seriousness of the potential negative impact warrants a detailed investigation.  </w:t>
            </w:r>
          </w:p>
        </w:tc>
        <w:tc>
          <w:tcPr>
            <w:tcW w:w="2012" w:type="pct"/>
          </w:tcPr>
          <w:p w14:paraId="0EDD36CB" w14:textId="77777777" w:rsidR="002A3D6C" w:rsidRDefault="002A3D6C" w:rsidP="00216C46">
            <w:pPr>
              <w:rPr>
                <w:rFonts w:ascii="Trebuchet MS" w:hAnsi="Trebuchet MS"/>
                <w:sz w:val="20"/>
                <w:szCs w:val="20"/>
              </w:rPr>
            </w:pPr>
            <w:r w:rsidRPr="002A3D6C">
              <w:rPr>
                <w:rFonts w:ascii="Trebuchet MS" w:hAnsi="Trebuchet MS"/>
                <w:sz w:val="20"/>
                <w:szCs w:val="20"/>
              </w:rPr>
              <w:t>In April 2021, we made changes to our service so that we only look further into more serious complaints about the NHS that people bring to us.</w:t>
            </w:r>
          </w:p>
          <w:p w14:paraId="5EF42493" w14:textId="68545F00" w:rsidR="00C20639" w:rsidRDefault="002A3D6C" w:rsidP="00216C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  <w:t xml:space="preserve">As </w:t>
            </w:r>
            <w:r w:rsidR="009001CE">
              <w:rPr>
                <w:rFonts w:ascii="Trebuchet MS" w:hAnsi="Trebuchet MS"/>
                <w:sz w:val="20"/>
                <w:szCs w:val="20"/>
              </w:rPr>
              <w:t>a general guide, PHSO is more likely to investigate:</w:t>
            </w:r>
          </w:p>
          <w:p w14:paraId="505A2FEE" w14:textId="77777777" w:rsidR="009001CE" w:rsidRDefault="009001CE" w:rsidP="00216C4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7F396E5" w14:textId="77777777" w:rsidR="009001CE" w:rsidRDefault="009001CE" w:rsidP="009001C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Cases where there </w:t>
            </w:r>
            <w:r w:rsidR="002508F8">
              <w:rPr>
                <w:rFonts w:ascii="Trebuchet MS" w:hAnsi="Trebuchet MS"/>
                <w:sz w:val="20"/>
                <w:szCs w:val="20"/>
              </w:rPr>
              <w:t>are indications that a significant and serious</w:t>
            </w:r>
            <w:r w:rsidR="00E20182">
              <w:rPr>
                <w:rFonts w:ascii="Trebuchet MS" w:hAnsi="Trebuchet MS"/>
                <w:sz w:val="20"/>
                <w:szCs w:val="20"/>
              </w:rPr>
              <w:t xml:space="preserve"> service failure has occurred, or where there is </w:t>
            </w:r>
            <w:r w:rsidR="00615BC3">
              <w:rPr>
                <w:rFonts w:ascii="Trebuchet MS" w:hAnsi="Trebuchet MS"/>
                <w:sz w:val="20"/>
                <w:szCs w:val="20"/>
              </w:rPr>
              <w:t xml:space="preserve">potential </w:t>
            </w:r>
            <w:r w:rsidR="00E20182">
              <w:rPr>
                <w:rFonts w:ascii="Trebuchet MS" w:hAnsi="Trebuchet MS"/>
                <w:sz w:val="20"/>
                <w:szCs w:val="20"/>
              </w:rPr>
              <w:t xml:space="preserve">significant </w:t>
            </w:r>
            <w:r w:rsidR="00615BC3">
              <w:rPr>
                <w:rFonts w:ascii="Trebuchet MS" w:hAnsi="Trebuchet MS"/>
                <w:sz w:val="20"/>
                <w:szCs w:val="20"/>
              </w:rPr>
              <w:t>injustice or harm (</w:t>
            </w:r>
            <w:r w:rsidR="002508F8">
              <w:rPr>
                <w:rFonts w:ascii="Trebuchet MS" w:hAnsi="Trebuchet MS"/>
                <w:sz w:val="20"/>
                <w:szCs w:val="20"/>
              </w:rPr>
              <w:t>for example, a potentially avoidable death</w:t>
            </w:r>
            <w:r w:rsidR="00615BC3">
              <w:rPr>
                <w:rFonts w:ascii="Trebuchet MS" w:hAnsi="Trebuchet MS"/>
                <w:sz w:val="20"/>
                <w:szCs w:val="20"/>
              </w:rPr>
              <w:t>).</w:t>
            </w:r>
          </w:p>
          <w:p w14:paraId="2839A421" w14:textId="77777777" w:rsidR="00615BC3" w:rsidRDefault="00615BC3" w:rsidP="009001C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Where there is a wider public interest.  This could include where we have identified a systemic issue</w:t>
            </w:r>
            <w:r w:rsidR="00920F08">
              <w:rPr>
                <w:rFonts w:ascii="Trebuchet MS" w:hAnsi="Trebuchet MS"/>
                <w:sz w:val="20"/>
                <w:szCs w:val="20"/>
              </w:rPr>
              <w:t xml:space="preserve"> with an organisation’s process, or where it is possible that </w:t>
            </w:r>
            <w:proofErr w:type="gramStart"/>
            <w:r w:rsidR="00920F08">
              <w:rPr>
                <w:rFonts w:ascii="Trebuchet MS" w:hAnsi="Trebuchet MS"/>
                <w:sz w:val="20"/>
                <w:szCs w:val="20"/>
              </w:rPr>
              <w:t>a large number of</w:t>
            </w:r>
            <w:proofErr w:type="gramEnd"/>
            <w:r w:rsidR="00920F08">
              <w:rPr>
                <w:rFonts w:ascii="Trebuchet MS" w:hAnsi="Trebuchet MS"/>
                <w:sz w:val="20"/>
                <w:szCs w:val="20"/>
              </w:rPr>
              <w:t xml:space="preserve"> people have been affected.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6EFF3B9B" w14:textId="77777777" w:rsidR="002A3D6C" w:rsidRDefault="002A3D6C" w:rsidP="002A3D6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518F08E" w14:textId="7899FC63" w:rsidR="002A3D6C" w:rsidRPr="002A3D6C" w:rsidRDefault="002A3D6C" w:rsidP="002A3D6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FCEB3B9" w14:textId="7FE2DD23" w:rsidR="00216C46" w:rsidRDefault="00216C46" w:rsidP="00216C46">
      <w:pPr>
        <w:rPr>
          <w:rFonts w:ascii="Trebuchet MS" w:hAnsi="Trebuchet MS"/>
          <w:sz w:val="24"/>
          <w:szCs w:val="24"/>
        </w:rPr>
      </w:pPr>
    </w:p>
    <w:p w14:paraId="3D4A8C90" w14:textId="6FFF4C19" w:rsidR="00216C46" w:rsidRDefault="00216C46" w:rsidP="00216C46">
      <w:pPr>
        <w:rPr>
          <w:rFonts w:ascii="Trebuchet MS" w:hAnsi="Trebuchet MS"/>
          <w:sz w:val="24"/>
          <w:szCs w:val="24"/>
        </w:rPr>
      </w:pPr>
    </w:p>
    <w:p w14:paraId="5B48A26D" w14:textId="77777777" w:rsidR="00216C46" w:rsidRDefault="00216C46" w:rsidP="00216C46">
      <w:pPr>
        <w:rPr>
          <w:rFonts w:ascii="Trebuchet MS" w:hAnsi="Trebuchet MS"/>
          <w:sz w:val="24"/>
          <w:szCs w:val="24"/>
        </w:rPr>
      </w:pPr>
    </w:p>
    <w:p w14:paraId="5A45AC8F" w14:textId="77777777" w:rsidR="00216C46" w:rsidRDefault="00216C46" w:rsidP="00216C46">
      <w:pPr>
        <w:rPr>
          <w:rFonts w:ascii="Trebuchet MS" w:hAnsi="Trebuchet MS"/>
          <w:sz w:val="24"/>
          <w:szCs w:val="24"/>
        </w:rPr>
      </w:pPr>
    </w:p>
    <w:p w14:paraId="4904F147" w14:textId="77777777" w:rsidR="00E15AF1" w:rsidRDefault="00E15AF1"/>
    <w:sectPr w:rsidR="00E15AF1" w:rsidSect="009129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34334"/>
    <w:multiLevelType w:val="hybridMultilevel"/>
    <w:tmpl w:val="A5EA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47F03"/>
    <w:multiLevelType w:val="hybridMultilevel"/>
    <w:tmpl w:val="CEA05B2E"/>
    <w:lvl w:ilvl="0" w:tplc="9246084C"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D734E4"/>
    <w:multiLevelType w:val="hybridMultilevel"/>
    <w:tmpl w:val="8D6839B2"/>
    <w:lvl w:ilvl="0" w:tplc="B1848CF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943353">
    <w:abstractNumId w:val="0"/>
  </w:num>
  <w:num w:numId="2" w16cid:durableId="2099205728">
    <w:abstractNumId w:val="2"/>
  </w:num>
  <w:num w:numId="3" w16cid:durableId="2137290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46"/>
    <w:rsid w:val="00020CBD"/>
    <w:rsid w:val="000331E9"/>
    <w:rsid w:val="00053C05"/>
    <w:rsid w:val="00056D8D"/>
    <w:rsid w:val="00060C54"/>
    <w:rsid w:val="000837DD"/>
    <w:rsid w:val="000C5CAA"/>
    <w:rsid w:val="000C69A3"/>
    <w:rsid w:val="000E5368"/>
    <w:rsid w:val="001075ED"/>
    <w:rsid w:val="00111FFA"/>
    <w:rsid w:val="00116B7B"/>
    <w:rsid w:val="00175FCC"/>
    <w:rsid w:val="001A77A2"/>
    <w:rsid w:val="00216C46"/>
    <w:rsid w:val="00230824"/>
    <w:rsid w:val="002508F8"/>
    <w:rsid w:val="002568CD"/>
    <w:rsid w:val="002701E2"/>
    <w:rsid w:val="00292EF6"/>
    <w:rsid w:val="002A3D6C"/>
    <w:rsid w:val="002B5920"/>
    <w:rsid w:val="002E0723"/>
    <w:rsid w:val="002E1619"/>
    <w:rsid w:val="002E631B"/>
    <w:rsid w:val="00322833"/>
    <w:rsid w:val="003A5801"/>
    <w:rsid w:val="003A5C61"/>
    <w:rsid w:val="00424426"/>
    <w:rsid w:val="00451F23"/>
    <w:rsid w:val="0046216D"/>
    <w:rsid w:val="00466113"/>
    <w:rsid w:val="004B67DC"/>
    <w:rsid w:val="004F0AD0"/>
    <w:rsid w:val="004F5EB5"/>
    <w:rsid w:val="00501CFB"/>
    <w:rsid w:val="005618EA"/>
    <w:rsid w:val="005632D5"/>
    <w:rsid w:val="00582CBC"/>
    <w:rsid w:val="005B5106"/>
    <w:rsid w:val="005C0DF1"/>
    <w:rsid w:val="005C4AB9"/>
    <w:rsid w:val="00615BC3"/>
    <w:rsid w:val="0061792F"/>
    <w:rsid w:val="00662D87"/>
    <w:rsid w:val="00693A35"/>
    <w:rsid w:val="006F1A97"/>
    <w:rsid w:val="007361DD"/>
    <w:rsid w:val="007378F5"/>
    <w:rsid w:val="007C098E"/>
    <w:rsid w:val="007C6BBD"/>
    <w:rsid w:val="007F0E83"/>
    <w:rsid w:val="007F7E2C"/>
    <w:rsid w:val="00801849"/>
    <w:rsid w:val="00826ADB"/>
    <w:rsid w:val="008273EA"/>
    <w:rsid w:val="00861036"/>
    <w:rsid w:val="00873F26"/>
    <w:rsid w:val="00894005"/>
    <w:rsid w:val="008B39DC"/>
    <w:rsid w:val="008D2C42"/>
    <w:rsid w:val="008D4A5C"/>
    <w:rsid w:val="008E26B3"/>
    <w:rsid w:val="008F3C90"/>
    <w:rsid w:val="009001CE"/>
    <w:rsid w:val="00911BC1"/>
    <w:rsid w:val="0091293E"/>
    <w:rsid w:val="00920F08"/>
    <w:rsid w:val="00926F2D"/>
    <w:rsid w:val="00933614"/>
    <w:rsid w:val="00960D63"/>
    <w:rsid w:val="00992BA7"/>
    <w:rsid w:val="009B75BD"/>
    <w:rsid w:val="009C0F6A"/>
    <w:rsid w:val="00B246BE"/>
    <w:rsid w:val="00B47F36"/>
    <w:rsid w:val="00B54454"/>
    <w:rsid w:val="00B63F3C"/>
    <w:rsid w:val="00B63F60"/>
    <w:rsid w:val="00BC6E0E"/>
    <w:rsid w:val="00BC79D7"/>
    <w:rsid w:val="00BD1F89"/>
    <w:rsid w:val="00C015CE"/>
    <w:rsid w:val="00C04669"/>
    <w:rsid w:val="00C20639"/>
    <w:rsid w:val="00C24518"/>
    <w:rsid w:val="00C42CF6"/>
    <w:rsid w:val="00C61521"/>
    <w:rsid w:val="00C67633"/>
    <w:rsid w:val="00CB1557"/>
    <w:rsid w:val="00CD0B25"/>
    <w:rsid w:val="00CD5EC3"/>
    <w:rsid w:val="00D25C8D"/>
    <w:rsid w:val="00D7214A"/>
    <w:rsid w:val="00D73047"/>
    <w:rsid w:val="00D80112"/>
    <w:rsid w:val="00DE0390"/>
    <w:rsid w:val="00DF4BC8"/>
    <w:rsid w:val="00E13A85"/>
    <w:rsid w:val="00E15AF1"/>
    <w:rsid w:val="00E20182"/>
    <w:rsid w:val="00E8625D"/>
    <w:rsid w:val="00EC0A3C"/>
    <w:rsid w:val="00ED2174"/>
    <w:rsid w:val="00EE24B1"/>
    <w:rsid w:val="00F12353"/>
    <w:rsid w:val="00F24612"/>
    <w:rsid w:val="00F32F37"/>
    <w:rsid w:val="00F40F41"/>
    <w:rsid w:val="00F61E1E"/>
    <w:rsid w:val="00F649C6"/>
    <w:rsid w:val="00F76A1F"/>
    <w:rsid w:val="00F9464B"/>
    <w:rsid w:val="00FD4CBC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19E1"/>
  <w15:docId w15:val="{4C29E1B9-700D-4301-B441-309A653B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C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6C4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16C46"/>
    <w:pPr>
      <w:ind w:left="720"/>
    </w:pPr>
  </w:style>
  <w:style w:type="table" w:styleId="TableGrid">
    <w:name w:val="Table Grid"/>
    <w:basedOn w:val="TableNormal"/>
    <w:uiPriority w:val="39"/>
    <w:rsid w:val="0021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16C4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0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09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098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8E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580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5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budsman.org.uk/making-complaint/how-we-deal-complain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1829058C5014E9DAB64504B20B83D" ma:contentTypeVersion="13" ma:contentTypeDescription="Create a new document." ma:contentTypeScope="" ma:versionID="f73f4346d22835a6c7b87f40ca4b0dff">
  <xsd:schema xmlns:xsd="http://www.w3.org/2001/XMLSchema" xmlns:xs="http://www.w3.org/2001/XMLSchema" xmlns:p="http://schemas.microsoft.com/office/2006/metadata/properties" xmlns:ns3="b441ca00-2e7e-4c04-8ac0-7a18be5c7ed1" xmlns:ns4="8de3a1ed-f7be-4155-a139-cee9612e94a1" targetNamespace="http://schemas.microsoft.com/office/2006/metadata/properties" ma:root="true" ma:fieldsID="8df29be07aac9ebe4de1a54a468cade1" ns3:_="" ns4:_="">
    <xsd:import namespace="b441ca00-2e7e-4c04-8ac0-7a18be5c7ed1"/>
    <xsd:import namespace="8de3a1ed-f7be-4155-a139-cee9612e94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ca00-2e7e-4c04-8ac0-7a18be5c7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3a1ed-f7be-4155-a139-cee9612e9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478F63-EE8F-47F8-A7A8-854F2C7B4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1ca00-2e7e-4c04-8ac0-7a18be5c7ed1"/>
    <ds:schemaRef ds:uri="8de3a1ed-f7be-4155-a139-cee9612e9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36AA9A-CFC6-4DAD-9FE9-2394D8A95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66022-ED59-423E-B80B-1DB2D71AF166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8de3a1ed-f7be-4155-a139-cee9612e94a1"/>
    <ds:schemaRef ds:uri="http://purl.org/dc/dcmitype/"/>
    <ds:schemaRef ds:uri="http://www.w3.org/XML/1998/namespace"/>
    <ds:schemaRef ds:uri="http://schemas.microsoft.com/office/infopath/2007/PartnerControls"/>
    <ds:schemaRef ds:uri="b441ca00-2e7e-4c04-8ac0-7a18be5c7ed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Medlock</dc:creator>
  <cp:keywords/>
  <dc:description/>
  <cp:lastModifiedBy>Andrew Medlock</cp:lastModifiedBy>
  <cp:revision>2</cp:revision>
  <dcterms:created xsi:type="dcterms:W3CDTF">2022-10-03T09:39:00Z</dcterms:created>
  <dcterms:modified xsi:type="dcterms:W3CDTF">2022-10-03T09:39:00Z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0x0101002B01829058C5014E9DAB64504B20B83D</vt:lpwstr>
  </property>
</Properties>
</file>