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6A" w:rsidRPr="0041526A" w:rsidRDefault="0041526A" w:rsidP="0041526A">
      <w:pPr>
        <w:spacing w:after="0" w:line="240" w:lineRule="auto"/>
        <w:rPr>
          <w:rFonts w:ascii="Calibri" w:eastAsia="Arial Unicode MS" w:hAnsi="Calibri" w:cs="Arial"/>
          <w:sz w:val="22"/>
        </w:rPr>
      </w:pPr>
      <w:r w:rsidRPr="0041526A">
        <w:rPr>
          <w:rFonts w:ascii="Calibri" w:eastAsia="Calibri" w:hAnsi="Calibri" w:cs="Calibri"/>
          <w:noProof/>
          <w:sz w:val="22"/>
          <w:lang w:eastAsia="en-GB"/>
        </w:rPr>
        <w:drawing>
          <wp:inline distT="0" distB="0" distL="0" distR="0" wp14:anchorId="702A24F1" wp14:editId="1BD82E02">
            <wp:extent cx="866775" cy="723900"/>
            <wp:effectExtent l="0" t="0" r="9525" b="0"/>
            <wp:docPr id="3" name="Picture 3" descr="DWP_BLK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P_BLK_SML_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p w:rsidR="0041526A" w:rsidRPr="0041526A" w:rsidRDefault="0041526A" w:rsidP="0041526A">
      <w:pPr>
        <w:spacing w:after="0" w:line="240" w:lineRule="auto"/>
        <w:rPr>
          <w:rFonts w:ascii="Calibri" w:eastAsia="Arial Unicode MS" w:hAnsi="Calibri" w:cs="Arial"/>
          <w:sz w:val="22"/>
        </w:rPr>
      </w:pPr>
      <w:r w:rsidRPr="0041526A">
        <w:rPr>
          <w:rFonts w:ascii="Calibri" w:eastAsia="Calibri" w:hAnsi="Calibri" w:cs="Arial"/>
          <w:noProof/>
          <w:sz w:val="22"/>
          <w:lang w:eastAsia="en-GB"/>
        </w:rPr>
        <mc:AlternateContent>
          <mc:Choice Requires="wps">
            <w:drawing>
              <wp:anchor distT="0" distB="0" distL="114300" distR="114300" simplePos="0" relativeHeight="251659264" behindDoc="0" locked="1" layoutInCell="1" allowOverlap="1" wp14:anchorId="4F69D153" wp14:editId="29904BC0">
                <wp:simplePos x="0" y="0"/>
                <wp:positionH relativeFrom="page">
                  <wp:posOffset>4664710</wp:posOffset>
                </wp:positionH>
                <wp:positionV relativeFrom="page">
                  <wp:posOffset>1080135</wp:posOffset>
                </wp:positionV>
                <wp:extent cx="2696210" cy="1609725"/>
                <wp:effectExtent l="0" t="381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60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DB4" w:rsidRDefault="00BE4DB4" w:rsidP="0041526A">
                            <w:pPr>
                              <w:pStyle w:val="Addressline1"/>
                              <w:ind w:right="1120"/>
                              <w:jc w:val="right"/>
                            </w:pPr>
                          </w:p>
                          <w:p w:rsidR="00BE4DB4" w:rsidRDefault="00BE4DB4" w:rsidP="0041526A">
                            <w:pPr>
                              <w:pStyle w:val="Addressline1"/>
                              <w:ind w:right="1120"/>
                              <w:jc w:val="right"/>
                            </w:pPr>
                          </w:p>
                          <w:p w:rsidR="00BE4DB4" w:rsidRDefault="00BE4DB4" w:rsidP="0041526A">
                            <w:pPr>
                              <w:pStyle w:val="Addressline1"/>
                              <w:ind w:right="1120"/>
                              <w:jc w:val="right"/>
                            </w:pPr>
                          </w:p>
                          <w:p w:rsidR="00BE4DB4" w:rsidRPr="00035A6E" w:rsidRDefault="00BE4DB4" w:rsidP="0041526A">
                            <w:pPr>
                              <w:pStyle w:val="Addressline1"/>
                              <w:jc w:val="right"/>
                              <w:rPr>
                                <w:b/>
                              </w:rPr>
                            </w:pPr>
                          </w:p>
                          <w:p w:rsidR="00BE4DB4" w:rsidRPr="00102500" w:rsidRDefault="00BE4DB4" w:rsidP="0041526A">
                            <w:pPr>
                              <w:jc w:val="right"/>
                            </w:pPr>
                            <w:r>
                              <w:t xml:space="preserve"> </w:t>
                            </w:r>
                          </w:p>
                          <w:p w:rsidR="00BE4DB4" w:rsidRPr="00F208E0" w:rsidRDefault="00BE4DB4" w:rsidP="0041526A">
                            <w:pPr>
                              <w:tabs>
                                <w:tab w:val="left" w:pos="2438"/>
                              </w:tabs>
                              <w:jc w:val="right"/>
                              <w:rPr>
                                <w:color w:val="663399"/>
                                <w:sz w:val="20"/>
                                <w:szCs w:val="20"/>
                              </w:rPr>
                            </w:pPr>
                          </w:p>
                          <w:p w:rsidR="00BE4DB4" w:rsidRPr="00455BC2" w:rsidRDefault="00BE4DB4" w:rsidP="0041526A">
                            <w:pPr>
                              <w:tabs>
                                <w:tab w:val="left" w:pos="2438"/>
                              </w:tabs>
                              <w:jc w:val="right"/>
                              <w:rPr>
                                <w:color w:val="66339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9D153" id="_x0000_t202" coordsize="21600,21600" o:spt="202" path="m,l,21600r21600,l21600,xe">
                <v:stroke joinstyle="miter"/>
                <v:path gradientshapeok="t" o:connecttype="rect"/>
              </v:shapetype>
              <v:shape id="Text Box 2" o:spid="_x0000_s1026" type="#_x0000_t202" style="position:absolute;margin-left:367.3pt;margin-top:85.05pt;width:212.3pt;height:12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" stroked="f">
                <v:textbox inset="0,0,0,0">
                  <w:txbxContent>
                    <w:p w:rsidR="00BE4DB4" w:rsidRDefault="00BE4DB4" w:rsidP="0041526A">
                      <w:pPr>
                        <w:pStyle w:val="Addressline1"/>
                        <w:ind w:right="1120"/>
                        <w:jc w:val="right"/>
                      </w:pPr>
                    </w:p>
                    <w:p w:rsidR="00BE4DB4" w:rsidRDefault="00BE4DB4" w:rsidP="0041526A">
                      <w:pPr>
                        <w:pStyle w:val="Addressline1"/>
                        <w:ind w:right="1120"/>
                        <w:jc w:val="right"/>
                      </w:pPr>
                    </w:p>
                    <w:p w:rsidR="00BE4DB4" w:rsidRDefault="00BE4DB4" w:rsidP="0041526A">
                      <w:pPr>
                        <w:pStyle w:val="Addressline1"/>
                        <w:ind w:right="1120"/>
                        <w:jc w:val="right"/>
                      </w:pPr>
                    </w:p>
                    <w:p w:rsidR="00BE4DB4" w:rsidRPr="00035A6E" w:rsidRDefault="00BE4DB4" w:rsidP="0041526A">
                      <w:pPr>
                        <w:pStyle w:val="Addressline1"/>
                        <w:jc w:val="right"/>
                        <w:rPr>
                          <w:b/>
                        </w:rPr>
                      </w:pPr>
                    </w:p>
                    <w:p w:rsidR="00BE4DB4" w:rsidRPr="00102500" w:rsidRDefault="00BE4DB4" w:rsidP="0041526A">
                      <w:pPr>
                        <w:jc w:val="right"/>
                      </w:pPr>
                      <w:r>
                        <w:t xml:space="preserve"> </w:t>
                      </w:r>
                    </w:p>
                    <w:p w:rsidR="00BE4DB4" w:rsidRPr="00F208E0" w:rsidRDefault="00BE4DB4" w:rsidP="0041526A">
                      <w:pPr>
                        <w:tabs>
                          <w:tab w:val="left" w:pos="2438"/>
                        </w:tabs>
                        <w:jc w:val="right"/>
                        <w:rPr>
                          <w:color w:val="663399"/>
                          <w:sz w:val="20"/>
                          <w:szCs w:val="20"/>
                        </w:rPr>
                      </w:pPr>
                    </w:p>
                    <w:p w:rsidR="00BE4DB4" w:rsidRPr="00455BC2" w:rsidRDefault="00BE4DB4" w:rsidP="0041526A">
                      <w:pPr>
                        <w:tabs>
                          <w:tab w:val="left" w:pos="2438"/>
                        </w:tabs>
                        <w:jc w:val="right"/>
                        <w:rPr>
                          <w:color w:val="663399"/>
                        </w:rPr>
                      </w:pPr>
                    </w:p>
                  </w:txbxContent>
                </v:textbox>
                <w10:wrap anchorx="page" anchory="page"/>
                <w10:anchorlock/>
              </v:shape>
            </w:pict>
          </mc:Fallback>
        </mc:AlternateContent>
      </w:r>
    </w:p>
    <w:p w:rsidR="0041526A" w:rsidRPr="0041526A" w:rsidRDefault="0041526A" w:rsidP="0041526A">
      <w:pPr>
        <w:spacing w:after="0" w:line="240" w:lineRule="auto"/>
        <w:rPr>
          <w:rFonts w:ascii="Calibri" w:eastAsia="Calibri" w:hAnsi="Calibri" w:cs="Arial"/>
          <w:sz w:val="22"/>
        </w:rPr>
      </w:pPr>
    </w:p>
    <w:p w:rsidR="0041526A" w:rsidRPr="0041526A" w:rsidRDefault="0041526A" w:rsidP="0041526A">
      <w:pPr>
        <w:spacing w:after="0" w:line="240" w:lineRule="auto"/>
        <w:rPr>
          <w:rFonts w:ascii="Calibri" w:eastAsia="Calibri" w:hAnsi="Calibri" w:cs="Arial"/>
          <w:sz w:val="22"/>
        </w:rPr>
      </w:pPr>
    </w:p>
    <w:p w:rsidR="0041526A" w:rsidRPr="00D35480" w:rsidRDefault="00D35480" w:rsidP="0041526A">
      <w:pPr>
        <w:spacing w:after="0" w:line="240" w:lineRule="auto"/>
        <w:rPr>
          <w:rFonts w:eastAsia="Calibri" w:cs="Arial"/>
          <w:szCs w:val="24"/>
        </w:rPr>
      </w:pPr>
      <w:r w:rsidRPr="00D35480">
        <w:rPr>
          <w:rFonts w:eastAsia="Calibri" w:cs="Arial"/>
          <w:szCs w:val="24"/>
        </w:rPr>
        <w:t>DWP Stakeholder Partners</w:t>
      </w:r>
    </w:p>
    <w:p w:rsidR="0041526A" w:rsidRPr="00D35480" w:rsidRDefault="0041526A" w:rsidP="0041526A">
      <w:pPr>
        <w:spacing w:after="0" w:line="240" w:lineRule="auto"/>
        <w:rPr>
          <w:rFonts w:eastAsia="Calibri" w:cs="Arial"/>
          <w:szCs w:val="24"/>
        </w:rPr>
      </w:pPr>
      <w:r w:rsidRPr="00D35480">
        <w:rPr>
          <w:rFonts w:eastAsia="Calibri" w:cs="Arial"/>
          <w:szCs w:val="24"/>
        </w:rPr>
        <w:tab/>
      </w:r>
      <w:r w:rsidRPr="00D35480">
        <w:rPr>
          <w:rFonts w:eastAsia="Calibri" w:cs="Arial"/>
          <w:szCs w:val="24"/>
        </w:rPr>
        <w:tab/>
      </w:r>
      <w:r w:rsidRPr="00D35480">
        <w:rPr>
          <w:rFonts w:eastAsia="Calibri" w:cs="Arial"/>
          <w:szCs w:val="24"/>
        </w:rPr>
        <w:tab/>
      </w:r>
    </w:p>
    <w:p w:rsidR="0041526A" w:rsidRPr="00D35480" w:rsidRDefault="0041526A" w:rsidP="0041526A">
      <w:pPr>
        <w:spacing w:after="0" w:line="240" w:lineRule="auto"/>
        <w:jc w:val="right"/>
        <w:rPr>
          <w:rFonts w:eastAsia="Calibri" w:cs="Arial"/>
          <w:szCs w:val="24"/>
        </w:rPr>
      </w:pPr>
    </w:p>
    <w:p w:rsidR="0041526A" w:rsidRPr="00D35480" w:rsidRDefault="0041526A" w:rsidP="0041526A">
      <w:pPr>
        <w:spacing w:after="0" w:line="240" w:lineRule="auto"/>
        <w:jc w:val="right"/>
        <w:rPr>
          <w:rFonts w:eastAsia="Calibri" w:cs="Arial"/>
          <w:szCs w:val="24"/>
        </w:rPr>
      </w:pPr>
    </w:p>
    <w:p w:rsidR="0041526A" w:rsidRPr="00D35480" w:rsidRDefault="0041526A" w:rsidP="0041526A">
      <w:pPr>
        <w:spacing w:after="0" w:line="240" w:lineRule="auto"/>
        <w:jc w:val="right"/>
        <w:rPr>
          <w:rFonts w:eastAsia="Calibri" w:cs="Arial"/>
          <w:szCs w:val="24"/>
        </w:rPr>
      </w:pPr>
      <w:r w:rsidRPr="00D35480">
        <w:rPr>
          <w:rFonts w:eastAsia="Calibri" w:cs="Arial"/>
          <w:szCs w:val="24"/>
        </w:rPr>
        <w:tab/>
      </w:r>
      <w:r w:rsidRPr="00D35480">
        <w:rPr>
          <w:rFonts w:eastAsia="Calibri" w:cs="Arial"/>
          <w:szCs w:val="24"/>
        </w:rPr>
        <w:tab/>
      </w:r>
      <w:r w:rsidRPr="00D35480">
        <w:rPr>
          <w:rFonts w:eastAsia="Calibri" w:cs="Arial"/>
          <w:szCs w:val="24"/>
        </w:rPr>
        <w:tab/>
      </w:r>
      <w:r w:rsidRPr="00D35480">
        <w:rPr>
          <w:rFonts w:eastAsia="Calibri" w:cs="Arial"/>
          <w:szCs w:val="24"/>
        </w:rPr>
        <w:tab/>
      </w:r>
      <w:r w:rsidRPr="00D35480">
        <w:rPr>
          <w:rFonts w:eastAsia="Calibri" w:cs="Arial"/>
          <w:szCs w:val="24"/>
        </w:rPr>
        <w:tab/>
      </w:r>
      <w:r w:rsidRPr="00D35480">
        <w:rPr>
          <w:rFonts w:eastAsia="Calibri" w:cs="Arial"/>
          <w:szCs w:val="24"/>
        </w:rPr>
        <w:tab/>
      </w:r>
      <w:r w:rsidRPr="00D35480">
        <w:rPr>
          <w:rFonts w:eastAsia="Calibri" w:cs="Arial"/>
          <w:szCs w:val="24"/>
        </w:rPr>
        <w:tab/>
        <w:t xml:space="preserve">        </w:t>
      </w:r>
    </w:p>
    <w:p w:rsidR="0041526A" w:rsidRPr="00D35480" w:rsidRDefault="007B3ECB" w:rsidP="0041526A">
      <w:pPr>
        <w:spacing w:after="0" w:line="240" w:lineRule="auto"/>
        <w:jc w:val="right"/>
        <w:rPr>
          <w:rFonts w:eastAsia="Calibri" w:cs="Arial"/>
          <w:szCs w:val="24"/>
        </w:rPr>
      </w:pPr>
      <w:r>
        <w:rPr>
          <w:rFonts w:eastAsia="Calibri" w:cs="Arial"/>
          <w:szCs w:val="24"/>
        </w:rPr>
        <w:t>06</w:t>
      </w:r>
      <w:r w:rsidR="006B5C9B">
        <w:rPr>
          <w:rFonts w:eastAsia="Calibri" w:cs="Arial"/>
          <w:szCs w:val="24"/>
        </w:rPr>
        <w:t xml:space="preserve"> February</w:t>
      </w:r>
      <w:r w:rsidR="0041526A" w:rsidRPr="00D35480">
        <w:rPr>
          <w:rFonts w:eastAsia="Calibri" w:cs="Arial"/>
          <w:szCs w:val="24"/>
        </w:rPr>
        <w:t xml:space="preserve"> 2018</w:t>
      </w:r>
    </w:p>
    <w:p w:rsidR="006B5C9B" w:rsidRDefault="006B5C9B" w:rsidP="006B5C9B">
      <w:pPr>
        <w:jc w:val="center"/>
        <w:rPr>
          <w:rFonts w:cs="Arial"/>
          <w:b/>
          <w:sz w:val="28"/>
          <w:szCs w:val="28"/>
        </w:rPr>
      </w:pPr>
    </w:p>
    <w:p w:rsidR="006B5C9B" w:rsidRDefault="006B5C9B" w:rsidP="006B5C9B">
      <w:pPr>
        <w:jc w:val="center"/>
        <w:rPr>
          <w:rFonts w:cs="Arial"/>
          <w:b/>
          <w:sz w:val="28"/>
          <w:szCs w:val="28"/>
        </w:rPr>
      </w:pPr>
      <w:r w:rsidRPr="00D86A86">
        <w:rPr>
          <w:rFonts w:cs="Arial"/>
          <w:b/>
          <w:sz w:val="28"/>
          <w:szCs w:val="28"/>
        </w:rPr>
        <w:t>Simple Payment service</w:t>
      </w:r>
      <w:r>
        <w:rPr>
          <w:rFonts w:cs="Arial"/>
          <w:b/>
          <w:sz w:val="28"/>
          <w:szCs w:val="28"/>
        </w:rPr>
        <w:t xml:space="preserve"> – replacement service</w:t>
      </w:r>
    </w:p>
    <w:p w:rsidR="006B5C9B" w:rsidRDefault="006B5C9B" w:rsidP="006B5C9B">
      <w:pPr>
        <w:rPr>
          <w:rFonts w:cs="Arial"/>
          <w:szCs w:val="24"/>
        </w:rPr>
      </w:pPr>
    </w:p>
    <w:p w:rsidR="006B5C9B" w:rsidRDefault="006B5C9B" w:rsidP="006B5C9B">
      <w:pPr>
        <w:rPr>
          <w:rFonts w:cs="Arial"/>
          <w:szCs w:val="24"/>
        </w:rPr>
      </w:pPr>
      <w:r>
        <w:rPr>
          <w:rFonts w:cs="Arial"/>
          <w:szCs w:val="24"/>
        </w:rPr>
        <w:t xml:space="preserve">The Simple Payment service is to be replaced by HM Government Payment Service. </w:t>
      </w:r>
    </w:p>
    <w:p w:rsidR="006B5C9B" w:rsidRDefault="006B5C9B" w:rsidP="006B5C9B">
      <w:pPr>
        <w:rPr>
          <w:rFonts w:cs="Arial"/>
          <w:szCs w:val="24"/>
        </w:rPr>
      </w:pPr>
      <w:r>
        <w:rPr>
          <w:rFonts w:cs="Arial"/>
          <w:szCs w:val="24"/>
        </w:rPr>
        <w:t xml:space="preserve">DWP benefit/pension recipients who are unable to open a bank, building society, Post Office or credit union account may currently be receiving payment by the Simple Payment service. This service is coming to an end in March 2018 and customers are being moved to HM Government Payment </w:t>
      </w:r>
      <w:r w:rsidR="007715AC">
        <w:rPr>
          <w:rFonts w:cs="Arial"/>
          <w:szCs w:val="24"/>
        </w:rPr>
        <w:t>S</w:t>
      </w:r>
      <w:r>
        <w:rPr>
          <w:rFonts w:cs="Arial"/>
          <w:szCs w:val="24"/>
        </w:rPr>
        <w:t>ervice.</w:t>
      </w:r>
    </w:p>
    <w:p w:rsidR="006B5C9B" w:rsidRDefault="006B5C9B" w:rsidP="006B5C9B">
      <w:pPr>
        <w:rPr>
          <w:rFonts w:cs="Arial"/>
          <w:szCs w:val="24"/>
        </w:rPr>
      </w:pPr>
      <w:r>
        <w:rPr>
          <w:rFonts w:cs="Arial"/>
          <w:szCs w:val="24"/>
        </w:rPr>
        <w:t xml:space="preserve">DWP is writing to all Simple Payment customers who are actively using their account to tell them that they will be moving to the new service by 20 March 2018. </w:t>
      </w:r>
      <w:r w:rsidR="007B3ECB">
        <w:rPr>
          <w:rFonts w:cs="Arial"/>
          <w:szCs w:val="24"/>
        </w:rPr>
        <w:t>Most c</w:t>
      </w:r>
      <w:r>
        <w:rPr>
          <w:rFonts w:cs="Arial"/>
          <w:szCs w:val="24"/>
        </w:rPr>
        <w:t>ustomers will continue to receive payment by the same method (SMS text or card). Customers will be issued with a new card where appropriate. Payment will continue to be through PayPoint outlets in the same way as the Simple Payments service.</w:t>
      </w:r>
    </w:p>
    <w:p w:rsidR="006B5C9B" w:rsidRDefault="006B5C9B" w:rsidP="006B5C9B">
      <w:pPr>
        <w:rPr>
          <w:rFonts w:cs="Arial"/>
          <w:szCs w:val="24"/>
        </w:rPr>
      </w:pPr>
      <w:r>
        <w:rPr>
          <w:rFonts w:cs="Arial"/>
          <w:szCs w:val="24"/>
        </w:rPr>
        <w:t>New customers who are unable to open and/or manage a bank or other account will be paid by the HM Government Payment Service from 1 February 2018. They will be given the option to be paid by text, pdf email containing a voucher or card.</w:t>
      </w:r>
    </w:p>
    <w:p w:rsidR="006B5C9B" w:rsidRDefault="006B5C9B" w:rsidP="006B5C9B">
      <w:pPr>
        <w:rPr>
          <w:rFonts w:cs="Arial"/>
          <w:szCs w:val="24"/>
        </w:rPr>
      </w:pPr>
      <w:r>
        <w:rPr>
          <w:rFonts w:cs="Arial"/>
          <w:szCs w:val="24"/>
        </w:rPr>
        <w:t>There are a few changes from the current service:</w:t>
      </w:r>
    </w:p>
    <w:p w:rsidR="006B5C9B" w:rsidRPr="00662B73" w:rsidRDefault="006B5C9B" w:rsidP="006B5C9B">
      <w:pPr>
        <w:pStyle w:val="ListParagraph"/>
        <w:numPr>
          <w:ilvl w:val="0"/>
          <w:numId w:val="1"/>
        </w:numPr>
        <w:rPr>
          <w:rFonts w:ascii="Arial" w:hAnsi="Arial" w:cs="Arial"/>
          <w:sz w:val="24"/>
          <w:szCs w:val="24"/>
        </w:rPr>
      </w:pPr>
      <w:r w:rsidRPr="00662B73">
        <w:rPr>
          <w:rFonts w:ascii="Arial" w:hAnsi="Arial" w:cs="Arial"/>
          <w:sz w:val="24"/>
          <w:szCs w:val="24"/>
        </w:rPr>
        <w:t>Benefits or pensions issued under the new service will need to be withdrawn within 30 days of receipt or the customer will need to</w:t>
      </w:r>
      <w:r>
        <w:rPr>
          <w:rFonts w:ascii="Arial" w:hAnsi="Arial" w:cs="Arial"/>
          <w:sz w:val="24"/>
          <w:szCs w:val="24"/>
        </w:rPr>
        <w:t xml:space="preserve"> contact DWP to have the payment voucher</w:t>
      </w:r>
      <w:r w:rsidRPr="00662B73">
        <w:rPr>
          <w:rFonts w:ascii="Arial" w:hAnsi="Arial" w:cs="Arial"/>
          <w:sz w:val="24"/>
          <w:szCs w:val="24"/>
        </w:rPr>
        <w:t xml:space="preserve"> reissued. </w:t>
      </w:r>
    </w:p>
    <w:p w:rsidR="006B5C9B" w:rsidRPr="00662B73" w:rsidRDefault="006B5C9B" w:rsidP="006B5C9B">
      <w:pPr>
        <w:pStyle w:val="ListParagraph"/>
        <w:numPr>
          <w:ilvl w:val="0"/>
          <w:numId w:val="1"/>
        </w:numPr>
        <w:rPr>
          <w:rFonts w:ascii="Arial" w:hAnsi="Arial" w:cs="Arial"/>
          <w:sz w:val="24"/>
          <w:szCs w:val="24"/>
        </w:rPr>
      </w:pPr>
      <w:r w:rsidRPr="00662B73">
        <w:rPr>
          <w:rFonts w:ascii="Arial" w:hAnsi="Arial" w:cs="Arial"/>
          <w:sz w:val="24"/>
          <w:szCs w:val="24"/>
        </w:rPr>
        <w:t>Overall payments will remain the same but will be paid in sums up to £100. For recipients this will mean that if their benefit or pension is over £100 the</w:t>
      </w:r>
      <w:r>
        <w:rPr>
          <w:rFonts w:ascii="Arial" w:hAnsi="Arial" w:cs="Arial"/>
          <w:sz w:val="24"/>
          <w:szCs w:val="24"/>
        </w:rPr>
        <w:t>y will receive multiple vouchers</w:t>
      </w:r>
      <w:r w:rsidRPr="00662B73">
        <w:rPr>
          <w:rFonts w:ascii="Arial" w:hAnsi="Arial" w:cs="Arial"/>
          <w:sz w:val="24"/>
          <w:szCs w:val="24"/>
        </w:rPr>
        <w:t xml:space="preserve"> requiring separate transactions to collect the money. For example</w:t>
      </w:r>
      <w:r>
        <w:rPr>
          <w:rFonts w:ascii="Arial" w:hAnsi="Arial" w:cs="Arial"/>
          <w:sz w:val="24"/>
          <w:szCs w:val="24"/>
        </w:rPr>
        <w:t>,</w:t>
      </w:r>
      <w:r w:rsidRPr="00662B73">
        <w:rPr>
          <w:rFonts w:ascii="Arial" w:hAnsi="Arial" w:cs="Arial"/>
          <w:sz w:val="24"/>
          <w:szCs w:val="24"/>
        </w:rPr>
        <w:t xml:space="preserve"> </w:t>
      </w:r>
      <w:r>
        <w:rPr>
          <w:rFonts w:ascii="Arial" w:hAnsi="Arial" w:cs="Arial"/>
          <w:sz w:val="24"/>
          <w:szCs w:val="24"/>
        </w:rPr>
        <w:t xml:space="preserve">for those receiving payment by card, </w:t>
      </w:r>
      <w:r w:rsidRPr="00662B73">
        <w:rPr>
          <w:rFonts w:ascii="Arial" w:hAnsi="Arial" w:cs="Arial"/>
          <w:sz w:val="24"/>
          <w:szCs w:val="24"/>
        </w:rPr>
        <w:t xml:space="preserve">to collect a payment of £165 the payment card will need to be used twice, firstly to collect £100 and then again to collect the remaining £65. </w:t>
      </w:r>
      <w:r>
        <w:rPr>
          <w:rFonts w:ascii="Arial" w:hAnsi="Arial" w:cs="Arial"/>
          <w:sz w:val="24"/>
          <w:szCs w:val="24"/>
        </w:rPr>
        <w:t xml:space="preserve">For those receiving payment via text or email with pdf vouchers they will receive two codes one </w:t>
      </w:r>
      <w:r>
        <w:rPr>
          <w:rFonts w:ascii="Arial" w:hAnsi="Arial" w:cs="Arial"/>
          <w:sz w:val="24"/>
          <w:szCs w:val="24"/>
        </w:rPr>
        <w:lastRenderedPageBreak/>
        <w:t xml:space="preserve">for £100 and the other for £65. </w:t>
      </w:r>
      <w:r w:rsidRPr="00662B73">
        <w:rPr>
          <w:rFonts w:ascii="Arial" w:hAnsi="Arial" w:cs="Arial"/>
          <w:sz w:val="24"/>
          <w:szCs w:val="24"/>
        </w:rPr>
        <w:t>As long as funds at the PayPoint outlet are sufficient this can be done in the same visit.</w:t>
      </w:r>
    </w:p>
    <w:p w:rsidR="006B5C9B" w:rsidRDefault="006B5C9B" w:rsidP="006B5C9B">
      <w:pPr>
        <w:pStyle w:val="ListParagraph"/>
        <w:numPr>
          <w:ilvl w:val="0"/>
          <w:numId w:val="1"/>
        </w:numPr>
        <w:rPr>
          <w:rFonts w:ascii="Arial" w:hAnsi="Arial" w:cs="Arial"/>
          <w:sz w:val="24"/>
          <w:szCs w:val="24"/>
        </w:rPr>
      </w:pPr>
      <w:r w:rsidRPr="00662B73">
        <w:rPr>
          <w:rFonts w:ascii="Arial" w:hAnsi="Arial" w:cs="Arial"/>
          <w:sz w:val="24"/>
          <w:szCs w:val="24"/>
        </w:rPr>
        <w:t>Customers can use any of the 29,000 PayPoint outlets to encash payment</w:t>
      </w:r>
      <w:r>
        <w:rPr>
          <w:rFonts w:ascii="Arial" w:hAnsi="Arial" w:cs="Arial"/>
          <w:sz w:val="24"/>
          <w:szCs w:val="24"/>
        </w:rPr>
        <w:t xml:space="preserve"> subject to funds being available at the outlet</w:t>
      </w:r>
      <w:r w:rsidRPr="00662B73">
        <w:rPr>
          <w:rFonts w:ascii="Arial" w:hAnsi="Arial" w:cs="Arial"/>
          <w:sz w:val="24"/>
          <w:szCs w:val="24"/>
        </w:rPr>
        <w:t>.</w:t>
      </w:r>
    </w:p>
    <w:p w:rsidR="006B5C9B" w:rsidRDefault="006B5C9B" w:rsidP="006B5C9B">
      <w:pPr>
        <w:rPr>
          <w:rFonts w:cs="Arial"/>
          <w:szCs w:val="24"/>
        </w:rPr>
      </w:pPr>
      <w:r>
        <w:rPr>
          <w:rFonts w:cs="Arial"/>
          <w:szCs w:val="24"/>
        </w:rPr>
        <w:t>DWP has also been writing to customers who have Simple Payment accounts which have not been used recently, telling them the account will be closed and requesting that they withdraw any balance. If there are any outstanding balances when the account is closed these will be held centrally and the customer will need to contact DWP to arrange payment to an alternative account.</w:t>
      </w:r>
    </w:p>
    <w:p w:rsidR="006B5C9B" w:rsidRDefault="006B5C9B" w:rsidP="006B5C9B">
      <w:pPr>
        <w:rPr>
          <w:rFonts w:cs="Arial"/>
          <w:szCs w:val="24"/>
        </w:rPr>
      </w:pPr>
      <w:r>
        <w:rPr>
          <w:rFonts w:cs="Arial"/>
          <w:szCs w:val="24"/>
        </w:rPr>
        <w:t>More detailed information will appear on Gov.uk in the near future. We will let you know when this is ready.</w:t>
      </w:r>
    </w:p>
    <w:p w:rsidR="0041526A" w:rsidRPr="00D35480" w:rsidRDefault="0041526A" w:rsidP="0041526A">
      <w:pPr>
        <w:spacing w:after="0" w:line="240" w:lineRule="auto"/>
        <w:rPr>
          <w:rFonts w:eastAsia="Calibri" w:cs="Arial"/>
          <w:szCs w:val="24"/>
        </w:rPr>
      </w:pPr>
    </w:p>
    <w:p w:rsidR="006B5C9B" w:rsidRDefault="006B5C9B" w:rsidP="00D35480">
      <w:pPr>
        <w:spacing w:after="0" w:line="240" w:lineRule="auto"/>
        <w:rPr>
          <w:rFonts w:eastAsia="Calibri" w:cs="Arial"/>
          <w:color w:val="000000"/>
          <w:szCs w:val="24"/>
        </w:rPr>
      </w:pPr>
    </w:p>
    <w:p w:rsidR="00D35480" w:rsidRPr="00D35480" w:rsidRDefault="00D35480">
      <w:pPr>
        <w:rPr>
          <w:rFonts w:cs="Arial"/>
          <w:szCs w:val="24"/>
        </w:rPr>
      </w:pPr>
      <w:bookmarkStart w:id="0" w:name="_GoBack"/>
      <w:bookmarkEnd w:id="0"/>
    </w:p>
    <w:sectPr w:rsidR="00D35480" w:rsidRPr="00D354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4E1" w:rsidRDefault="00E714E1" w:rsidP="00E714E1">
      <w:pPr>
        <w:spacing w:after="0" w:line="240" w:lineRule="auto"/>
      </w:pPr>
      <w:r>
        <w:separator/>
      </w:r>
    </w:p>
  </w:endnote>
  <w:endnote w:type="continuationSeparator" w:id="0">
    <w:p w:rsidR="00E714E1" w:rsidRDefault="00E714E1" w:rsidP="00E714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4E1" w:rsidRDefault="00E714E1" w:rsidP="00E714E1">
      <w:pPr>
        <w:spacing w:after="0" w:line="240" w:lineRule="auto"/>
      </w:pPr>
      <w:r>
        <w:separator/>
      </w:r>
    </w:p>
  </w:footnote>
  <w:footnote w:type="continuationSeparator" w:id="0">
    <w:p w:rsidR="00E714E1" w:rsidRDefault="00E714E1" w:rsidP="00E714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21DB5"/>
    <w:multiLevelType w:val="hybridMultilevel"/>
    <w:tmpl w:val="DA2A0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SAuthor1stName" w:val="Joanna"/>
    <w:docVar w:name="FSAuthorDept" w:val="Dispute Resolution"/>
    <w:docVar w:name="FSAuthorEmail" w:val="joanna.bromhead@wbd-uk.com"/>
    <w:docVar w:name="FSAuthorExt" w:val="+44 (0)191 279 9188"/>
    <w:docVar w:name="FSAuthorFax" w:val="0345 415 5256"/>
    <w:docVar w:name="FSAuthorLogon" w:val="JOANNAP"/>
    <w:docVar w:name="FSAuthorName" w:val="Joanna Bromhead"/>
    <w:docVar w:name="FSAuthorOffice" w:val="St Ann's Wharf"/>
    <w:docVar w:name="FSAuthorStaffReference" w:val="JLB4"/>
    <w:docVar w:name="FSAuthorSurname" w:val="Bromhead"/>
    <w:docVar w:name="FSAuthorTitle" w:val="Managing Associate"/>
    <w:docVar w:name="FSClientName" w:val="RM3786 Department for Work and Pensions"/>
    <w:docVar w:name="FSClientNumber" w:val="458869"/>
    <w:docVar w:name="FSDocClass" w:val="COMPARISON"/>
    <w:docVar w:name="FSDocNumber" w:val="37807840"/>
    <w:docVar w:name="FSDocumentDescription" w:val="5 January 2018 draft termination letter - clean"/>
    <w:docVar w:name="FSDocVersion" w:val="2"/>
    <w:docVar w:name="FSMatterDesc" w:val="Contract Termination"/>
    <w:docVar w:name="FSMatterManager" w:val="RDC"/>
    <w:docVar w:name="FSMatterNumber" w:val="00001"/>
    <w:docVar w:name="FSTypist" w:val="JOANNAP"/>
    <w:docVar w:name="FSTypistExt" w:val="+44 (0)191 279 9188"/>
    <w:docVar w:name="FSTypistLogon" w:val="JOANNAP"/>
    <w:docVar w:name="FSTypistName" w:val="Joanna Bromhead"/>
    <w:docVar w:name="FSTypistStaffReference" w:val="JLB4"/>
    <w:docVar w:name="zOfferToOpen" w:val="True"/>
    <w:docVar w:name="zOfferToOpenDocDatabase" w:val="4A-LIVE"/>
    <w:docVar w:name="zOfferToOpenDocNo" w:val="37807840"/>
    <w:docVar w:name="zOfferToOpenDocVers" w:val="1"/>
  </w:docVars>
  <w:rsids>
    <w:rsidRoot w:val="0041526A"/>
    <w:rsid w:val="002F1283"/>
    <w:rsid w:val="0032099A"/>
    <w:rsid w:val="0036761D"/>
    <w:rsid w:val="0041526A"/>
    <w:rsid w:val="00421A06"/>
    <w:rsid w:val="005B1CC6"/>
    <w:rsid w:val="00604996"/>
    <w:rsid w:val="00655FF5"/>
    <w:rsid w:val="006B5C9B"/>
    <w:rsid w:val="007715AC"/>
    <w:rsid w:val="007B3ECB"/>
    <w:rsid w:val="007C48F1"/>
    <w:rsid w:val="00A60361"/>
    <w:rsid w:val="00AC017D"/>
    <w:rsid w:val="00BE4C26"/>
    <w:rsid w:val="00BE4DB4"/>
    <w:rsid w:val="00CD06B5"/>
    <w:rsid w:val="00CF6457"/>
    <w:rsid w:val="00D35480"/>
    <w:rsid w:val="00D70B35"/>
    <w:rsid w:val="00D748BD"/>
    <w:rsid w:val="00DF13B7"/>
    <w:rsid w:val="00E714E1"/>
    <w:rsid w:val="00ED76D4"/>
    <w:rsid w:val="00F84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04E92-2348-4765-9AB1-6E6AAC16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26A"/>
    <w:rPr>
      <w:rFonts w:ascii="Arial" w:hAnsi="Arial"/>
      <w:color w:val="0000FF"/>
      <w:u w:val="single"/>
    </w:rPr>
  </w:style>
  <w:style w:type="paragraph" w:customStyle="1" w:styleId="Addressline1">
    <w:name w:val="Address line 1"/>
    <w:basedOn w:val="Normal"/>
    <w:rsid w:val="0041526A"/>
    <w:pPr>
      <w:tabs>
        <w:tab w:val="left" w:pos="2438"/>
      </w:tabs>
      <w:spacing w:after="0" w:line="300" w:lineRule="atLeast"/>
    </w:pPr>
    <w:rPr>
      <w:rFonts w:eastAsia="Times New Roman" w:cs="Times New Roman"/>
      <w:kern w:val="16"/>
      <w:szCs w:val="24"/>
    </w:rPr>
  </w:style>
  <w:style w:type="paragraph" w:styleId="BalloonText">
    <w:name w:val="Balloon Text"/>
    <w:basedOn w:val="Normal"/>
    <w:link w:val="BalloonTextChar"/>
    <w:uiPriority w:val="99"/>
    <w:semiHidden/>
    <w:unhideWhenUsed/>
    <w:rsid w:val="00415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26A"/>
    <w:rPr>
      <w:rFonts w:ascii="Tahoma" w:hAnsi="Tahoma" w:cs="Tahoma"/>
      <w:sz w:val="16"/>
      <w:szCs w:val="16"/>
    </w:rPr>
  </w:style>
  <w:style w:type="paragraph" w:styleId="Header">
    <w:name w:val="header"/>
    <w:basedOn w:val="Normal"/>
    <w:link w:val="HeaderChar"/>
    <w:uiPriority w:val="99"/>
    <w:unhideWhenUsed/>
    <w:rsid w:val="00E71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4E1"/>
  </w:style>
  <w:style w:type="paragraph" w:styleId="Footer">
    <w:name w:val="footer"/>
    <w:basedOn w:val="Normal"/>
    <w:link w:val="FooterChar"/>
    <w:uiPriority w:val="99"/>
    <w:unhideWhenUsed/>
    <w:rsid w:val="00E71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4E1"/>
  </w:style>
  <w:style w:type="paragraph" w:styleId="ListParagraph">
    <w:name w:val="List Paragraph"/>
    <w:basedOn w:val="Normal"/>
    <w:uiPriority w:val="34"/>
    <w:qFormat/>
    <w:rsid w:val="006B5C9B"/>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8B68C-4D97-42FC-9504-7512C662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Creasy Richard DWP COMMERCIAL LAW GROUP</dc:creator>
  <cp:lastModifiedBy>Hodges Maureen DWP NATIONAL EMPLOYER AND PARTNERSHIP TEAM</cp:lastModifiedBy>
  <cp:revision>4</cp:revision>
  <dcterms:created xsi:type="dcterms:W3CDTF">2018-02-07T20:01:00Z</dcterms:created>
  <dcterms:modified xsi:type="dcterms:W3CDTF">2018-02-09T17:55:00Z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SFooter">
    <vt:lpwstr>4A-LIVE\37807840\2</vt:lpwstr>
  </property>
  <property fmtid="{D5CDD505-2E9C-101B-9397-08002B2CF9AE}" pid="4" name="DocRef">
    <vt:lpwstr>4A_37807840_2</vt:lpwstr>
  </property>
</Properties>
</file>